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7F" w:rsidRDefault="00B9607F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МИНИСТЕРСТВА ТРУДА И СОЦИАЛЬНОЙ ЗАЩИТЫ РЕСПУБЛИКИ БЕЛАРУСЬ</w:t>
      </w:r>
    </w:p>
    <w:p w:rsidR="00B9607F" w:rsidRDefault="00B9607F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 мая 2019 г. № 23</w:t>
      </w:r>
    </w:p>
    <w:bookmarkEnd w:id="0"/>
    <w:p w:rsidR="00B9607F" w:rsidRDefault="00B9607F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Об оплате труда работников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труда и социальной защиты Республики Беларусь от 30 октября 2020 г. № 101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8/36048 от 13.11.2020 г.) &lt;W22036048&gt;;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Министерства труда и социальной защиты Республики Беларусь от 16 января 2021 г. №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8/36301 от 29.01.2021 г.) &lt;W22136301&gt; - не внесены в связи с утратой силы -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 Министерства труда и социальной защиты Республики Беларусь от 11 июня 2021 г. № 46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труда и социальной защиты Республики Беларусь от 11 июня 2021 г. № 46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8/36832 от 21.06.2021 г.) &lt;W22136832&gt;;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труда и социальной защиты Республики Беларусь от 31 августа 2021 г. № 63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8/37165 от 17.09.2021 г.) &lt;W22137165&gt;;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труда и социальной защиты Республики Беларусь от 28 декабря 2021 г. № 88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8/37526 от 11.01.2022 г.) &lt;W22237526&gt;;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труда и социальной защиты Республики Беларусь от 24 февраля 2022 г. № 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8/37707 от 14.03.2022 г.) &lt;W22237707&gt;;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труда и социальной защиты Республики Беларусь от 27 июня 2022 г. № 38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8/38322 от 30.06.2022 г.) &lt;W22238322&gt;;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труда и социальной защиты Республики Беларусь от 23 ноября 2022 г. № 73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8/39090 от 30.11.2022 г.) &lt;W22239090&gt;;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труда и социальной защиты Республики Беларусь от 6 апреля 2023 г. № 11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8/39831 от 14.04.2023 г.) &lt;W22339831&gt;;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труда и социальной защиты Республики Беларусь от 11 октября 2023 г. № 35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8/40564 от 17.10.2023 г.) &lt;W22340564&gt;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абзаца пятого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 Президента Республики Беларусь от 18 января 2019 г. № 27 «Об оплате труда работников бюджетных организаций» и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7.1.1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7 Положения о Министерстве труда и социальной защиты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Республики Беларусь, утвержденного постановлением Совета Министров Республики Беларусь от 31 октября 2001 г. № 1589, Министерство труда и социальной защиты Республики Беларусь ПОСТАНОВЛЯЕТ: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Установить: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 для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служащих бюджетных организаций и иных организаций, получающих субсидии, работники которых приравнены по оплате труда к работникам бюджетных организаций, оказывающих социальные услуги, независимо от их ведомственной подчиненности: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тарифные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разряды по должностям служащих, занятых в предоставлении социальных услуг, согласно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приложениям 1–5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стимулирующую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выплату – надбавку за особенности профессиональной деятельности в размере 10 процентов оклада служащим, занимающим должности социального работника и сиделки;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21" o:title=""/>
          </v:shape>
        </w:pic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перечень стимулирующих и компенсирующей выплат работникам бюджетных организаций и иных организаций, получающих субсидии, работники которых приравнены по оплате труда к работникам бюджетных организаций (за исключением учреждения «Научно-исследовательский институт труда Министерства труда и социальной защиты Республики Беларусь»), подчиненных Министерству труда и социальной защиты, и учреждений социального обслуживания, домов (центров) временного пребывания лиц без определенного места жительства, подчиненных местным исполнительным и распорядительным органам и относящихся к сфере (области) деятельности Министерства труда и социальной защиты (далее – бюджетные организации), согласно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Утвердить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Инструкцию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осуществления и размерах стимулирующих и компенсирующей выплат (прилагается).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N__point_3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 с 1 января 2020 г.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9607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И.А.Костевич</w:t>
            </w:r>
            <w:proofErr w:type="spellEnd"/>
          </w:p>
        </w:tc>
      </w:tr>
    </w:tbl>
    <w:p w:rsidR="00B9607F" w:rsidRDefault="00B9607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607F" w:rsidRDefault="00B9607F">
      <w:pPr>
        <w:autoSpaceDE w:val="0"/>
        <w:autoSpaceDN w:val="0"/>
        <w:adjustRightInd w:val="0"/>
        <w:spacing w:after="3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СОГЛАСОВАНО</w:t>
      </w:r>
    </w:p>
    <w:p w:rsidR="00B9607F" w:rsidRDefault="00B9607F">
      <w:pPr>
        <w:autoSpaceDE w:val="0"/>
        <w:autoSpaceDN w:val="0"/>
        <w:adjustRightInd w:val="0"/>
        <w:spacing w:after="3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Министерство финансов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Республики Беларусь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B9607F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CN__прил_1"/>
            <w:bookmarkEnd w:id="2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Министерства 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социальной защиты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Республики Беларусь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31.05.2019 № 23 </w:t>
            </w:r>
          </w:p>
        </w:tc>
      </w:tr>
    </w:tbl>
    <w:p w:rsidR="00B9607F" w:rsidRDefault="00B9607F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CN__заг_прил_1"/>
      <w:bookmarkEnd w:id="3"/>
      <w:r>
        <w:rPr>
          <w:rFonts w:ascii="Times New Roman" w:hAnsi="Times New Roman" w:cs="Times New Roman"/>
          <w:b/>
          <w:color w:val="000000"/>
          <w:sz w:val="24"/>
          <w:szCs w:val="24"/>
        </w:rPr>
        <w:t>ТАРИФНЫЕ РАЗРЯДЫ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по должностям руководителей учреждений социального обслуживания, осуществляющих стационарное социальное обслуживание, домов (центров)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временного пребывания лиц без определенного места жительства и их структурных подразделений, за исключением руководителей, предусмотренных приложениями 2–4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99"/>
        <w:gridCol w:w="1131"/>
        <w:gridCol w:w="1416"/>
        <w:gridCol w:w="1793"/>
      </w:tblGrid>
      <w:tr w:rsidR="00B9607F">
        <w:trPr>
          <w:trHeight w:val="240"/>
        </w:trPr>
        <w:tc>
          <w:tcPr>
            <w:tcW w:w="2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 служащего</w:t>
            </w:r>
          </w:p>
        </w:tc>
        <w:tc>
          <w:tcPr>
            <w:tcW w:w="2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коек</w:t>
            </w:r>
          </w:p>
        </w:tc>
      </w:tr>
      <w:tr w:rsidR="00B9607F">
        <w:tblPrEx>
          <w:tblCellSpacing w:w="-8" w:type="nil"/>
        </w:tblPrEx>
        <w:trPr>
          <w:trHeight w:val="240"/>
          <w:tblCellSpacing w:w="-8" w:type="nil"/>
        </w:trPr>
        <w:tc>
          <w:tcPr>
            <w:tcW w:w="13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07F" w:rsidRDefault="00B96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 до 400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401 и более</w:t>
            </w:r>
          </w:p>
        </w:tc>
      </w:tr>
      <w:tr w:rsidR="00B9607F">
        <w:tblPrEx>
          <w:tblCellSpacing w:w="-8" w:type="nil"/>
        </w:tblPrEx>
        <w:trPr>
          <w:trHeight w:val="240"/>
          <w:tblCellSpacing w:w="-8" w:type="nil"/>
        </w:trPr>
        <w:tc>
          <w:tcPr>
            <w:tcW w:w="13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07F" w:rsidRDefault="00B96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Тарифный разряд</w:t>
            </w:r>
          </w:p>
        </w:tc>
      </w:tr>
      <w:tr w:rsidR="00B9607F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9607F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9607F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филиалом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9607F">
        <w:tblPrEx>
          <w:tblCellSpacing w:w="-8" w:type="nil"/>
        </w:tblPrEx>
        <w:trPr>
          <w:trHeight w:val="240"/>
          <w:tblCellSpacing w:w="-8" w:type="nil"/>
        </w:trPr>
        <w:tc>
          <w:tcPr>
            <w:tcW w:w="2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отделением (отделом)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B9607F" w:rsidRDefault="00B9607F">
      <w:pPr>
        <w:widowControl w:val="0"/>
        <w:autoSpaceDE w:val="0"/>
        <w:autoSpaceDN w:val="0"/>
        <w:adjustRightInd w:val="0"/>
        <w:spacing w:after="0" w:line="300" w:lineRule="auto"/>
        <w:ind w:left="1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pict>
          <v:shape id="_x0000_i1026" type="#_x0000_t75" style="width:7.5pt;height:7.5pt">
            <v:imagedata r:id="rId21" o:title=""/>
          </v:shape>
        </w:pic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B9607F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CN__прил_2"/>
            <w:bookmarkEnd w:id="4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Министерства 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социальной защиты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Республики Беларусь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31.05.2019 № 23 </w:t>
            </w:r>
          </w:p>
        </w:tc>
      </w:tr>
    </w:tbl>
    <w:p w:rsidR="00B9607F" w:rsidRDefault="00B9607F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" w:name="CN__заг_прил_2"/>
      <w:bookmarkEnd w:id="5"/>
      <w:r>
        <w:rPr>
          <w:rFonts w:ascii="Times New Roman" w:hAnsi="Times New Roman" w:cs="Times New Roman"/>
          <w:b/>
          <w:color w:val="000000"/>
          <w:sz w:val="24"/>
          <w:szCs w:val="24"/>
        </w:rPr>
        <w:t>ТАРИФНЫЕ РАЗРЯДЫ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по должностям руководителей государственного учреждения «Республиканский реабилитационный центр для детей-инвалидов» и его структурных подразделений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pict>
          <v:shape id="_x0000_i1027" type="#_x0000_t75" style="width:7.5pt;height:7.5pt">
            <v:imagedata r:id="rId21" o:title=""/>
          </v:shape>
        </w:pic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88"/>
        <w:gridCol w:w="1603"/>
        <w:gridCol w:w="2548"/>
      </w:tblGrid>
      <w:tr w:rsidR="00B9607F">
        <w:trPr>
          <w:trHeight w:val="240"/>
        </w:trPr>
        <w:tc>
          <w:tcPr>
            <w:tcW w:w="2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 служащего</w:t>
            </w:r>
          </w:p>
        </w:tc>
        <w:tc>
          <w:tcPr>
            <w:tcW w:w="2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коек</w:t>
            </w:r>
          </w:p>
        </w:tc>
      </w:tr>
      <w:tr w:rsidR="00B9607F">
        <w:tblPrEx>
          <w:tblCellSpacing w:w="-8" w:type="nil"/>
        </w:tblPrEx>
        <w:trPr>
          <w:trHeight w:val="240"/>
          <w:tblCellSpacing w:w="-8" w:type="nil"/>
        </w:trPr>
        <w:tc>
          <w:tcPr>
            <w:tcW w:w="14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07F" w:rsidRDefault="00B96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 и более</w:t>
            </w:r>
          </w:p>
        </w:tc>
      </w:tr>
      <w:tr w:rsidR="00B9607F">
        <w:tblPrEx>
          <w:tblCellSpacing w:w="-8" w:type="nil"/>
        </w:tblPrEx>
        <w:trPr>
          <w:trHeight w:val="240"/>
          <w:tblCellSpacing w:w="-8" w:type="nil"/>
        </w:trPr>
        <w:tc>
          <w:tcPr>
            <w:tcW w:w="14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07F" w:rsidRDefault="00B96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Тарифный разряд</w:t>
            </w:r>
          </w:p>
        </w:tc>
      </w:tr>
      <w:tr w:rsidR="00B9607F">
        <w:tblPrEx>
          <w:tblCellSpacing w:w="-8" w:type="nil"/>
        </w:tblPrEx>
        <w:trPr>
          <w:trHeight w:val="240"/>
          <w:tblCellSpacing w:w="-8" w:type="nil"/>
        </w:trPr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9607F">
        <w:tblPrEx>
          <w:tblCellSpacing w:w="-8" w:type="nil"/>
        </w:tblPrEx>
        <w:trPr>
          <w:trHeight w:val="240"/>
          <w:tblCellSpacing w:w="-8" w:type="nil"/>
        </w:trPr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9607F">
        <w:tblPrEx>
          <w:tblCellSpacing w:w="-8" w:type="nil"/>
        </w:tblPrEx>
        <w:trPr>
          <w:trHeight w:val="240"/>
          <w:tblCellSpacing w:w="-8" w:type="nil"/>
        </w:trPr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филиалом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9607F">
        <w:tblPrEx>
          <w:tblCellSpacing w:w="-8" w:type="nil"/>
        </w:tblPrEx>
        <w:trPr>
          <w:trHeight w:val="240"/>
          <w:tblCellSpacing w:w="-8" w:type="nil"/>
        </w:trPr>
        <w:tc>
          <w:tcPr>
            <w:tcW w:w="2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отделением (отделом)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B9607F" w:rsidRDefault="00B9607F">
      <w:pPr>
        <w:widowControl w:val="0"/>
        <w:autoSpaceDE w:val="0"/>
        <w:autoSpaceDN w:val="0"/>
        <w:adjustRightInd w:val="0"/>
        <w:spacing w:after="0" w:line="300" w:lineRule="auto"/>
        <w:ind w:left="1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pict>
          <v:shape id="_x0000_i1028" type="#_x0000_t75" style="width:7.5pt;height:7.5pt">
            <v:imagedata r:id="rId21" o:title=""/>
          </v:shape>
        </w:pic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B9607F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CN__прил_3"/>
            <w:bookmarkEnd w:id="6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Министерства 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социальной защиты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Республики Беларусь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31.05.2019 № 23 </w:t>
            </w:r>
          </w:p>
        </w:tc>
      </w:tr>
    </w:tbl>
    <w:p w:rsidR="00B9607F" w:rsidRDefault="00B9607F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7" w:name="CN__заг_прил_3"/>
      <w:bookmarkEnd w:id="7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ТАРИФНЫЕ РАЗРЯДЫ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по должностям руководителей территориальных центров социального обслуживания населения, центров социального обслуживания семьи и детей (социальной помощи семье и детям) и их структурных подразделений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57"/>
        <w:gridCol w:w="1982"/>
      </w:tblGrid>
      <w:tr w:rsidR="00B9607F">
        <w:trPr>
          <w:trHeight w:val="240"/>
        </w:trPr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 служащего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Тарифный разряд</w:t>
            </w:r>
          </w:p>
        </w:tc>
      </w:tr>
      <w:tr w:rsidR="00B9607F">
        <w:tblPrEx>
          <w:tblCellSpacing w:w="-8" w:type="nil"/>
        </w:tblPrEx>
        <w:trPr>
          <w:trHeight w:val="240"/>
          <w:tblCellSpacing w:w="-8" w:type="nil"/>
        </w:trPr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(при наличии в территориальном центре социального обслуживания населения структурного подразделения, оказывающего социальные услуги в форме стационарного социального обслуживания)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9607F">
        <w:tblPrEx>
          <w:tblCellSpacing w:w="-8" w:type="nil"/>
        </w:tblPrEx>
        <w:trPr>
          <w:trHeight w:val="240"/>
          <w:tblCellSpacing w:w="-8" w:type="nil"/>
        </w:trPr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9607F">
        <w:tblPrEx>
          <w:tblCellSpacing w:w="-8" w:type="nil"/>
        </w:tblPrEx>
        <w:trPr>
          <w:trHeight w:val="240"/>
          <w:tblCellSpacing w:w="-8" w:type="nil"/>
        </w:trPr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директора, заведующий филиалом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9607F">
        <w:tblPrEx>
          <w:tblCellSpacing w:w="-8" w:type="nil"/>
        </w:tblPrEx>
        <w:trPr>
          <w:trHeight w:val="240"/>
          <w:tblCellSpacing w:w="-8" w:type="nil"/>
        </w:trPr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отделением (отделом), оказывающим социальные услуги в формах стационарного, полустационарного социального обслуживания и на дому 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9607F">
        <w:tblPrEx>
          <w:tblCellSpacing w:w="-8" w:type="nil"/>
        </w:tblPrEx>
        <w:trPr>
          <w:trHeight w:val="240"/>
          <w:tblCellSpacing w:w="-8" w:type="nil"/>
        </w:trPr>
        <w:tc>
          <w:tcPr>
            <w:tcW w:w="3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отделением (отделом), оказывающим социальные услуги в иных формах социального обслуживания 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B9607F" w:rsidRDefault="00B9607F">
      <w:pPr>
        <w:widowControl w:val="0"/>
        <w:autoSpaceDE w:val="0"/>
        <w:autoSpaceDN w:val="0"/>
        <w:adjustRightInd w:val="0"/>
        <w:spacing w:after="0" w:line="300" w:lineRule="auto"/>
        <w:ind w:left="1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pict>
          <v:shape id="_x0000_i1029" type="#_x0000_t75" style="width:7.5pt;height:7.5pt">
            <v:imagedata r:id="rId21" o:title=""/>
          </v:shape>
        </w:pic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B9607F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CN__append1_4"/>
            <w:bookmarkEnd w:id="8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</w:p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Министерства 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социальной защиты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Республики Беларусь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31.05.2019 № 23 </w:t>
            </w:r>
          </w:p>
        </w:tc>
      </w:tr>
    </w:tbl>
    <w:p w:rsidR="00B9607F" w:rsidRDefault="00B9607F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ТАРИФНЫЕ РАЗРЯДЫ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по должностям руководителей специальных домов для ветеранов, престарелых и инвалидов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64"/>
        <w:gridCol w:w="2075"/>
      </w:tblGrid>
      <w:tr w:rsidR="00B9607F">
        <w:trPr>
          <w:trHeight w:val="240"/>
        </w:trPr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 служащего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Тарифный разряд</w:t>
            </w:r>
          </w:p>
        </w:tc>
      </w:tr>
      <w:tr w:rsidR="00B9607F">
        <w:tblPrEx>
          <w:tblCellSpacing w:w="-8" w:type="nil"/>
        </w:tblPrEx>
        <w:trPr>
          <w:trHeight w:val="240"/>
          <w:tblCellSpacing w:w="-8" w:type="nil"/>
        </w:trPr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9607F">
        <w:tblPrEx>
          <w:tblCellSpacing w:w="-8" w:type="nil"/>
        </w:tblPrEx>
        <w:trPr>
          <w:trHeight w:val="240"/>
          <w:tblCellSpacing w:w="-8" w:type="nil"/>
        </w:trPr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B9607F" w:rsidRDefault="00B9607F">
      <w:pPr>
        <w:widowControl w:val="0"/>
        <w:autoSpaceDE w:val="0"/>
        <w:autoSpaceDN w:val="0"/>
        <w:adjustRightInd w:val="0"/>
        <w:spacing w:after="0" w:line="300" w:lineRule="auto"/>
        <w:ind w:left="1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pict>
          <v:shape id="_x0000_i1030" type="#_x0000_t75" style="width:7.5pt;height:7.5pt">
            <v:imagedata r:id="rId21" o:title=""/>
          </v:shape>
        </w:pic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B9607F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9" w:name="CN__прил_5"/>
            <w:bookmarkEnd w:id="9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</w:p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Министерства 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социальной защиты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Республики Беларусь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31.05.2019 № 23 </w:t>
            </w:r>
          </w:p>
        </w:tc>
      </w:tr>
    </w:tbl>
    <w:p w:rsidR="00B9607F" w:rsidRDefault="00B9607F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0" w:name="CN__заг_прил_5"/>
      <w:bookmarkEnd w:id="10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ТАРИФНЫЕ РАЗРЯДЫ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по должностям специалистов и других служащих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64"/>
        <w:gridCol w:w="2075"/>
      </w:tblGrid>
      <w:tr w:rsidR="00B9607F">
        <w:trPr>
          <w:trHeight w:val="240"/>
        </w:trPr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 служащего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Тарифный разряд</w:t>
            </w:r>
          </w:p>
        </w:tc>
      </w:tr>
      <w:tr w:rsidR="00B9607F">
        <w:tblPrEx>
          <w:tblCellSpacing w:w="-8" w:type="nil"/>
        </w:tblPrEx>
        <w:trPr>
          <w:trHeight w:val="240"/>
          <w:tblCellSpacing w:w="-8" w:type="nil"/>
        </w:trPr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работе, инспектор по основной деятельности, руководитель кружка (секции, студии и др.), переводчик жестового языка, инструктор-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дактилолог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инструктор-методист по социально-трудовой реабилитации инвалидов по зрению: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607F">
        <w:tblPrEx>
          <w:tblCellSpacing w:w="-8" w:type="nil"/>
        </w:tblPrEx>
        <w:trPr>
          <w:trHeight w:val="240"/>
          <w:tblCellSpacing w:w="-8" w:type="nil"/>
        </w:trPr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имеющий квалификационной категории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607F">
        <w:tblPrEx>
          <w:tblCellSpacing w:w="-8" w:type="nil"/>
        </w:tblPrEx>
        <w:trPr>
          <w:trHeight w:val="240"/>
          <w:tblCellSpacing w:w="-8" w:type="nil"/>
        </w:trPr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вторую квалификационную категорию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9607F">
        <w:tblPrEx>
          <w:tblCellSpacing w:w="-8" w:type="nil"/>
        </w:tblPrEx>
        <w:trPr>
          <w:trHeight w:val="240"/>
          <w:tblCellSpacing w:w="-8" w:type="nil"/>
        </w:trPr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первую квалификационную категорию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607F">
        <w:tblPrEx>
          <w:tblCellSpacing w:w="-8" w:type="nil"/>
        </w:tblPrEx>
        <w:trPr>
          <w:trHeight w:val="240"/>
          <w:tblCellSpacing w:w="-8" w:type="nil"/>
        </w:trPr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высшую квалификационную категорию или по производной должности служащего «ведущий»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9607F">
        <w:tblPrEx>
          <w:tblCellSpacing w:w="-8" w:type="nil"/>
        </w:tblPrEx>
        <w:trPr>
          <w:trHeight w:val="240"/>
          <w:tblCellSpacing w:w="-8" w:type="nil"/>
        </w:trPr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Техник-протезист: 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607F">
        <w:tblPrEx>
          <w:tblCellSpacing w:w="-8" w:type="nil"/>
        </w:tblPrEx>
        <w:trPr>
          <w:trHeight w:val="240"/>
          <w:tblCellSpacing w:w="-8" w:type="nil"/>
        </w:trPr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имеющий квалификационной категории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607F">
        <w:tblPrEx>
          <w:tblCellSpacing w:w="-8" w:type="nil"/>
        </w:tblPrEx>
        <w:trPr>
          <w:trHeight w:val="240"/>
          <w:tblCellSpacing w:w="-8" w:type="nil"/>
        </w:trPr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вторую квалификационную категорию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9607F">
        <w:tblPrEx>
          <w:tblCellSpacing w:w="-8" w:type="nil"/>
        </w:tblPrEx>
        <w:trPr>
          <w:trHeight w:val="240"/>
          <w:tblCellSpacing w:w="-8" w:type="nil"/>
        </w:trPr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первую квалификационную категорию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607F">
        <w:tblPrEx>
          <w:tblCellSpacing w:w="-8" w:type="nil"/>
        </w:tblPrEx>
        <w:trPr>
          <w:trHeight w:val="240"/>
          <w:tblCellSpacing w:w="-8" w:type="nil"/>
        </w:trPr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работник: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607F">
        <w:tblPrEx>
          <w:tblCellSpacing w:w="-8" w:type="nil"/>
        </w:tblPrEx>
        <w:trPr>
          <w:trHeight w:val="240"/>
          <w:tblCellSpacing w:w="-8" w:type="nil"/>
        </w:trPr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имеющий квалификационной категории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9607F">
        <w:tblPrEx>
          <w:tblCellSpacing w:w="-8" w:type="nil"/>
        </w:tblPrEx>
        <w:trPr>
          <w:trHeight w:val="240"/>
          <w:tblCellSpacing w:w="-8" w:type="nil"/>
        </w:trPr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вторую квалификационную категорию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9607F">
        <w:tblPrEx>
          <w:tblCellSpacing w:w="-8" w:type="nil"/>
        </w:tblPrEx>
        <w:trPr>
          <w:trHeight w:val="240"/>
          <w:tblCellSpacing w:w="-8" w:type="nil"/>
        </w:trPr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первую квалификационную категорию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9607F">
        <w:tblPrEx>
          <w:tblCellSpacing w:w="-8" w:type="nil"/>
        </w:tblPrEx>
        <w:trPr>
          <w:trHeight w:val="240"/>
          <w:tblCellSpacing w:w="-8" w:type="nil"/>
        </w:trPr>
        <w:tc>
          <w:tcPr>
            <w:tcW w:w="3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Сиделка, секретарь незрячего специалиста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9607F" w:rsidRDefault="00B9607F">
      <w:pPr>
        <w:widowControl w:val="0"/>
        <w:autoSpaceDE w:val="0"/>
        <w:autoSpaceDN w:val="0"/>
        <w:adjustRightInd w:val="0"/>
        <w:spacing w:after="0" w:line="300" w:lineRule="auto"/>
        <w:ind w:left="1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pict>
          <v:shape id="_x0000_i1031" type="#_x0000_t75" style="width:7.5pt;height:7.5pt">
            <v:imagedata r:id="rId21" o:title=""/>
          </v:shape>
        </w:pic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B9607F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1" w:name="CN__прил_6"/>
            <w:bookmarkEnd w:id="1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</w:p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Министерства 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социальной защиты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Республики Беларусь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31.05.2019 № 23 </w:t>
            </w:r>
          </w:p>
        </w:tc>
      </w:tr>
    </w:tbl>
    <w:p w:rsidR="00B9607F" w:rsidRDefault="00B9607F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2" w:name="CN__заг_прил_6"/>
      <w:bookmarkEnd w:id="12"/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стимулирующих и компенсирующей выплат работникам бюджетных организаций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N__point_1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1. Стимулирующие выплаты – надбавки: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N__underpoint_1_1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работу в сельской местности;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N__underpoint_1_2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сложность труда;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N__underpoint_1_3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характер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2" type="#_x0000_t75" style="width:7.5pt;height:7.5pt">
            <v:imagedata r:id="rId21" o:title="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N__underpoint_1_4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1.4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работу в сфере социального обслуживания;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3" type="#_x0000_t75" style="width:7.5pt;height:7.5pt">
            <v:imagedata r:id="rId21" o:title=""/>
          </v:shape>
        </w:pic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N__underpoint_1_5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специфику работы в организациях, подчиненных и относящихся к сфере (области) деятельности Министерства труда и социальной защиты.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4" type="#_x0000_t75" style="width:7.5pt;height:7.5pt">
            <v:imagedata r:id="rId21" o:title=""/>
          </v:shape>
        </w:pic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N__point_2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Компенсирующая выплата – доплата за особые условия труда.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B9607F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B9607F" w:rsidRDefault="00B9607F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0" w:name="CN__утв_1"/>
            <w:bookmarkEnd w:id="2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B9607F" w:rsidRDefault="00B9607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Министерства 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социальной защиты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31.05.2019 № 23</w:t>
            </w:r>
          </w:p>
        </w:tc>
      </w:tr>
    </w:tbl>
    <w:p w:rsidR="00B9607F" w:rsidRDefault="00B9607F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1" w:name="CA0_ИНС__1CN__заг_утв_1"/>
      <w:bookmarkEnd w:id="21"/>
      <w:r>
        <w:rPr>
          <w:rFonts w:ascii="Times New Roman" w:hAnsi="Times New Roman" w:cs="Times New Roman"/>
          <w:b/>
          <w:color w:val="000000"/>
          <w:sz w:val="24"/>
          <w:szCs w:val="24"/>
        </w:rPr>
        <w:t>ИНСТРУКЦИЯ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порядке осуществления и размерах стимулирующих и компенсирующей выплат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_ИНС__1_П_1_1CN__point_1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>1. Настоящей Инструкцией определяются порядок осуществления и размеры стимулирующих и компенсирующей выплат работникам бюджетных организаций.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_ИНС__1_П_2_2CN__point_2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>2. Надбавки устанавливаются: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_ИНС__1_П_2_2_ПП_2_1_1CN__underpoint_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>2.1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работу в сельской местности – руководителям и специалистам, постоянное рабочее место которых расположено в сельской местности</w:t>
      </w:r>
      <w:r>
        <w:rPr>
          <w:rFonts w:ascii="Symbol" w:hAnsi="Symbol" w:cs="Times New Roman"/>
          <w:noProof/>
          <w:color w:val="000000"/>
          <w:sz w:val="24"/>
          <w:szCs w:val="24"/>
          <w:lang w:val="x-none"/>
        </w:rPr>
        <w:t></w:t>
      </w:r>
      <w:r>
        <w:rPr>
          <w:rFonts w:ascii="Times New Roman" w:hAnsi="Times New Roman" w:cs="Times New Roman"/>
          <w:color w:val="000000"/>
          <w:sz w:val="24"/>
          <w:szCs w:val="24"/>
        </w:rPr>
        <w:t>, в размере 15 процентов базовой ставки;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jc w:val="both"/>
        <w:rPr>
          <w:rFonts w:ascii="Symbol" w:hAnsi="Symbol" w:cs="Times New Roman"/>
          <w:noProof/>
          <w:color w:val="000000"/>
          <w:sz w:val="24"/>
          <w:szCs w:val="24"/>
          <w:lang w:val="x-none"/>
        </w:rPr>
      </w:pPr>
      <w:r>
        <w:rPr>
          <w:rFonts w:ascii="Symbol" w:hAnsi="Symbol" w:cs="Times New Roman"/>
          <w:noProof/>
          <w:color w:val="000000"/>
          <w:sz w:val="24"/>
          <w:szCs w:val="24"/>
          <w:lang w:val="x-none"/>
        </w:rPr>
        <w:t></w:t>
      </w:r>
      <w:r>
        <w:rPr>
          <w:rFonts w:ascii="Symbol" w:hAnsi="Symbol" w:cs="Times New Roman"/>
          <w:noProof/>
          <w:color w:val="000000"/>
          <w:sz w:val="24"/>
          <w:szCs w:val="24"/>
          <w:lang w:val="x-none"/>
        </w:rPr>
        <w:t></w:t>
      </w:r>
      <w:r>
        <w:rPr>
          <w:rFonts w:ascii="Symbol" w:hAnsi="Symbol" w:cs="Times New Roman"/>
          <w:noProof/>
          <w:color w:val="000000"/>
          <w:sz w:val="24"/>
          <w:szCs w:val="24"/>
          <w:lang w:val="x-none"/>
        </w:rPr>
        <w:t></w:t>
      </w:r>
      <w:r>
        <w:rPr>
          <w:rFonts w:ascii="Symbol" w:hAnsi="Symbol" w:cs="Times New Roman"/>
          <w:noProof/>
          <w:color w:val="000000"/>
          <w:sz w:val="24"/>
          <w:szCs w:val="24"/>
          <w:lang w:val="x-none"/>
        </w:rPr>
        <w:t></w:t>
      </w:r>
      <w:r>
        <w:rPr>
          <w:rFonts w:ascii="Symbol" w:hAnsi="Symbol" w:cs="Times New Roman"/>
          <w:noProof/>
          <w:color w:val="000000"/>
          <w:sz w:val="24"/>
          <w:szCs w:val="24"/>
          <w:lang w:val="x-none"/>
        </w:rPr>
        <w:t></w:t>
      </w:r>
      <w:r>
        <w:rPr>
          <w:rFonts w:ascii="Symbol" w:hAnsi="Symbol" w:cs="Times New Roman"/>
          <w:noProof/>
          <w:color w:val="000000"/>
          <w:sz w:val="24"/>
          <w:szCs w:val="24"/>
          <w:lang w:val="x-none"/>
        </w:rPr>
        <w:t></w:t>
      </w:r>
      <w:r>
        <w:rPr>
          <w:rFonts w:ascii="Symbol" w:hAnsi="Symbol" w:cs="Times New Roman"/>
          <w:noProof/>
          <w:color w:val="000000"/>
          <w:sz w:val="24"/>
          <w:szCs w:val="24"/>
          <w:lang w:val="x-none"/>
        </w:rPr>
        <w:t></w:t>
      </w:r>
      <w:r>
        <w:rPr>
          <w:rFonts w:ascii="Symbol" w:hAnsi="Symbol" w:cs="Times New Roman"/>
          <w:noProof/>
          <w:color w:val="000000"/>
          <w:sz w:val="24"/>
          <w:szCs w:val="24"/>
          <w:lang w:val="x-none"/>
        </w:rPr>
        <w:t></w:t>
      </w:r>
      <w:r>
        <w:rPr>
          <w:rFonts w:ascii="Symbol" w:hAnsi="Symbol" w:cs="Times New Roman"/>
          <w:noProof/>
          <w:color w:val="000000"/>
          <w:sz w:val="24"/>
          <w:szCs w:val="24"/>
          <w:lang w:val="x-none"/>
        </w:rPr>
        <w:t></w:t>
      </w:r>
      <w:r>
        <w:rPr>
          <w:rFonts w:ascii="Symbol" w:hAnsi="Symbol" w:cs="Times New Roman"/>
          <w:noProof/>
          <w:color w:val="000000"/>
          <w:sz w:val="24"/>
          <w:szCs w:val="24"/>
          <w:lang w:val="x-none"/>
        </w:rPr>
        <w:t></w:t>
      </w:r>
      <w:r>
        <w:rPr>
          <w:rFonts w:ascii="Symbol" w:hAnsi="Symbol" w:cs="Times New Roman"/>
          <w:noProof/>
          <w:color w:val="000000"/>
          <w:sz w:val="24"/>
          <w:szCs w:val="24"/>
          <w:lang w:val="x-none"/>
        </w:rPr>
        <w:t></w:t>
      </w:r>
      <w:r>
        <w:rPr>
          <w:rFonts w:ascii="Symbol" w:hAnsi="Symbol" w:cs="Times New Roman"/>
          <w:noProof/>
          <w:color w:val="000000"/>
          <w:sz w:val="24"/>
          <w:szCs w:val="24"/>
          <w:lang w:val="x-none"/>
        </w:rPr>
        <w:t></w:t>
      </w:r>
      <w:r>
        <w:rPr>
          <w:rFonts w:ascii="Symbol" w:hAnsi="Symbol" w:cs="Times New Roman"/>
          <w:noProof/>
          <w:color w:val="000000"/>
          <w:sz w:val="24"/>
          <w:szCs w:val="24"/>
          <w:lang w:val="x-none"/>
        </w:rPr>
        <w:t></w:t>
      </w:r>
      <w:r>
        <w:rPr>
          <w:rFonts w:ascii="Symbol" w:hAnsi="Symbol" w:cs="Times New Roman"/>
          <w:noProof/>
          <w:color w:val="000000"/>
          <w:sz w:val="24"/>
          <w:szCs w:val="24"/>
          <w:lang w:val="x-none"/>
        </w:rPr>
        <w:t></w:t>
      </w:r>
      <w:r>
        <w:rPr>
          <w:rFonts w:ascii="Symbol" w:hAnsi="Symbol" w:cs="Times New Roman"/>
          <w:noProof/>
          <w:color w:val="000000"/>
          <w:sz w:val="24"/>
          <w:szCs w:val="24"/>
          <w:lang w:val="x-none"/>
        </w:rPr>
        <w:t></w:t>
      </w:r>
      <w:r>
        <w:rPr>
          <w:rFonts w:ascii="Symbol" w:hAnsi="Symbol" w:cs="Times New Roman"/>
          <w:noProof/>
          <w:color w:val="000000"/>
          <w:sz w:val="24"/>
          <w:szCs w:val="24"/>
          <w:lang w:val="x-none"/>
        </w:rPr>
        <w:t></w:t>
      </w:r>
      <w:r>
        <w:rPr>
          <w:rFonts w:ascii="Symbol" w:hAnsi="Symbol" w:cs="Times New Roman"/>
          <w:noProof/>
          <w:color w:val="000000"/>
          <w:sz w:val="24"/>
          <w:szCs w:val="24"/>
          <w:lang w:val="x-none"/>
        </w:rPr>
        <w:t></w:t>
      </w:r>
      <w:r>
        <w:rPr>
          <w:rFonts w:ascii="Symbol" w:hAnsi="Symbol" w:cs="Times New Roman"/>
          <w:noProof/>
          <w:color w:val="000000"/>
          <w:sz w:val="24"/>
          <w:szCs w:val="24"/>
          <w:lang w:val="x-none"/>
        </w:rPr>
        <w:t></w:t>
      </w:r>
      <w:r>
        <w:rPr>
          <w:rFonts w:ascii="Symbol" w:hAnsi="Symbol" w:cs="Times New Roman"/>
          <w:noProof/>
          <w:color w:val="000000"/>
          <w:sz w:val="24"/>
          <w:szCs w:val="24"/>
          <w:lang w:val="x-none"/>
        </w:rPr>
        <w:t></w:t>
      </w:r>
      <w:r>
        <w:rPr>
          <w:rFonts w:ascii="Symbol" w:hAnsi="Symbol" w:cs="Times New Roman"/>
          <w:noProof/>
          <w:color w:val="000000"/>
          <w:sz w:val="24"/>
          <w:szCs w:val="24"/>
          <w:lang w:val="x-none"/>
        </w:rPr>
        <w:t></w:t>
      </w:r>
      <w:r>
        <w:rPr>
          <w:rFonts w:ascii="Symbol" w:hAnsi="Symbol" w:cs="Times New Roman"/>
          <w:noProof/>
          <w:color w:val="000000"/>
          <w:sz w:val="24"/>
          <w:szCs w:val="24"/>
          <w:lang w:val="x-none"/>
        </w:rPr>
        <w:t></w:t>
      </w:r>
      <w:r>
        <w:rPr>
          <w:rFonts w:ascii="Symbol" w:hAnsi="Symbol" w:cs="Times New Roman"/>
          <w:noProof/>
          <w:color w:val="000000"/>
          <w:sz w:val="24"/>
          <w:szCs w:val="24"/>
          <w:lang w:val="x-none"/>
        </w:rPr>
        <w:t></w:t>
      </w:r>
      <w:r>
        <w:rPr>
          <w:rFonts w:ascii="Symbol" w:hAnsi="Symbol" w:cs="Times New Roman"/>
          <w:noProof/>
          <w:color w:val="000000"/>
          <w:sz w:val="24"/>
          <w:szCs w:val="24"/>
          <w:lang w:val="x-none"/>
        </w:rPr>
        <w:t></w:t>
      </w:r>
      <w:r>
        <w:rPr>
          <w:rFonts w:ascii="Symbol" w:hAnsi="Symbol" w:cs="Times New Roman"/>
          <w:noProof/>
          <w:color w:val="000000"/>
          <w:sz w:val="24"/>
          <w:szCs w:val="24"/>
          <w:lang w:val="x-none"/>
        </w:rPr>
        <w:t></w:t>
      </w:r>
      <w:r>
        <w:rPr>
          <w:rFonts w:ascii="Symbol" w:hAnsi="Symbol" w:cs="Times New Roman"/>
          <w:noProof/>
          <w:color w:val="000000"/>
          <w:sz w:val="24"/>
          <w:szCs w:val="24"/>
          <w:lang w:val="x-none"/>
        </w:rPr>
        <w:t></w:t>
      </w:r>
      <w:r>
        <w:rPr>
          <w:rFonts w:ascii="Symbol" w:hAnsi="Symbol" w:cs="Times New Roman"/>
          <w:noProof/>
          <w:color w:val="000000"/>
          <w:sz w:val="24"/>
          <w:szCs w:val="24"/>
          <w:lang w:val="x-none"/>
        </w:rPr>
        <w:t></w:t>
      </w:r>
      <w:r>
        <w:rPr>
          <w:rFonts w:ascii="Symbol" w:hAnsi="Symbol" w:cs="Times New Roman"/>
          <w:noProof/>
          <w:color w:val="000000"/>
          <w:sz w:val="24"/>
          <w:szCs w:val="24"/>
          <w:lang w:val="x-none"/>
        </w:rPr>
        <w:t></w:t>
      </w:r>
      <w:r>
        <w:rPr>
          <w:rFonts w:ascii="Symbol" w:hAnsi="Symbol" w:cs="Times New Roman"/>
          <w:noProof/>
          <w:color w:val="000000"/>
          <w:sz w:val="24"/>
          <w:szCs w:val="24"/>
          <w:lang w:val="x-none"/>
        </w:rPr>
        <w:t></w:t>
      </w:r>
      <w:r>
        <w:rPr>
          <w:rFonts w:ascii="Symbol" w:hAnsi="Symbol" w:cs="Times New Roman"/>
          <w:noProof/>
          <w:color w:val="000000"/>
          <w:sz w:val="24"/>
          <w:szCs w:val="24"/>
          <w:lang w:val="x-none"/>
        </w:rPr>
        <w:t></w:t>
      </w:r>
      <w:r>
        <w:rPr>
          <w:rFonts w:ascii="Symbol" w:hAnsi="Symbol" w:cs="Times New Roman"/>
          <w:noProof/>
          <w:color w:val="000000"/>
          <w:sz w:val="24"/>
          <w:szCs w:val="24"/>
          <w:lang w:val="x-none"/>
        </w:rPr>
        <w:t></w:t>
      </w:r>
    </w:p>
    <w:p w:rsidR="00B9607F" w:rsidRDefault="00B9607F">
      <w:pPr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Times New Roman"/>
          <w:noProof/>
          <w:color w:val="000000"/>
          <w:sz w:val="24"/>
          <w:szCs w:val="24"/>
          <w:lang w:val="x-none"/>
        </w:rPr>
        <w:t></w:t>
      </w:r>
      <w:r>
        <w:rPr>
          <w:rFonts w:ascii="Symbol" w:hAnsi="Symbol" w:cs="Times New Roman"/>
          <w:noProof/>
          <w:color w:val="000000"/>
          <w:sz w:val="24"/>
          <w:szCs w:val="24"/>
          <w:lang w:val="x-none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Для целей настоящей Инструкции под сельской местностью понимается территория, входящая в пространственные пределы сельсоветов, за исключением территорий поселков городского типа и городов районного подчинения.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_ИНС__1_П_2_2_ПП_2_2_2CN__underpoint_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>2.2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сложность труда – руководителям, специалистам и другим служащим. На установление надбавки за сложность труда направляются средства в следующих размерах от суммы окладов руководителей, специалистов и других служащих: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5" type="#_x0000_t75" style="width:7.5pt;height:7.5pt">
            <v:imagedata r:id="rId21" o:title=""/>
          </v:shape>
        </w:pic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 «Республиканский реабилитационный центр для детей-инвалидов» – 100 процентов;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санаторно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-курортных организаций, подчиненных Министерству труда и социальной защиты, – 95 процентов;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 образования «Республиканский институт повышения квалификации и переподготовки работников Министерства труда и социальной защиты Республики Беларусь» – 100 процентов;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социального обслуживания, осуществляющих стационарное социальное обслуживание, подчиненных местным исполнительным и распорядительным органам, – 130 процентов;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специальных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домов для ветеранов, престарелых и инвалидов – 70 процентов;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домов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(центров) временного пребывания лиц без определенного места жительства, территориальных центров социального обслуживания населения, центров социального обслуживания семьи и детей (социальной помощи семье и детям), подчиненных (входящих в систему) комитетам по труду, занятости и социальной защите: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Минского городского исполнительного комитета – 85 процентов;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областных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исполнительных комитетов – 65 процентов.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Конкретные размеры и порядок выплаты надбавки за сложность труда определяются руководителями бюджетных организаций. Руководителям бюджетных организаций надбавка за сложность труда устанавливается органом, уполномоченным заключать с ними контракт;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6" type="#_x0000_t75" style="width:7.5pt;height:7.5pt">
            <v:imagedata r:id="rId21" o:title=""/>
          </v:shape>
        </w:pic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A0_ИНС__1_П_2_2_ПП_2_3_4CN__underpoint_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>2.3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характер труда: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специалистам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числа выпускников, получивших высшее и среднее специальное образование, которым место работы предоставлено путем распределения (перераспределения), трудоустройства в счет брони, направления на работу (перенаправления на работу) (далее – выпускники) в бюджетные организации, в течение срока обязательной работы в размере 10 процентов от оклада. В случае приема на работу выпускников в бюджетные организации до даты выдачи свидетельства о направлении на работу (при распределении (направлении на работу) надбавка за характер труда устанавливается в течение срока обязательной работы с даты выдачи свидетельства о направлении на работу (при распределении (направлении на работу);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7" type="#_x0000_t75" style="width:7.5pt;height:7.5pt">
            <v:imagedata r:id="rId21" o:title=""/>
          </v:shape>
        </w:pic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рабочим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На установление надбавки за характер труда направляются средства в следующих размерах от суммы окладов рабочих: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8" type="#_x0000_t75" style="width:7.5pt;height:7.5pt">
            <v:imagedata r:id="rId21" o:title=""/>
          </v:shape>
        </w:pic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 «Республиканский реабилитационный центр для детей-инвалидов» – 70 процентов;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9" type="#_x0000_t75" style="width:7.5pt;height:7.5pt">
            <v:imagedata r:id="rId21" o:title=""/>
          </v:shape>
        </w:pic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санаторно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-курортных организаций, подчиненных Министерству труда и социальной защиты, – 45 процентов;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 образования «Республиканский институт повышения квалификации и переподготовки работников Министерства труда и социальной защиты Республики Беларусь» – 40 процентов;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социального обслуживания, осуществляющих стационарное социальное обслуживание, подчиненных (входящих в систему) комитетам по труду, занятости и социальной защите: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Минского городского исполнительного комитета – 100 процентов;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областных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исполнительных комитетов – 70 процентов;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специальных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домов для ветеранов, престарелых и инвалидов – 40 процентов;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домов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(центров) временного пребывания лиц без определенного места жительства, территориальных центров социального обслуживания населения, центров социального обслуживания семьи и детей (социальной помощи семье и детям), подчиненных (входящих в систему) комитетам по труду, занятости и социальной защите: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Минского городского исполнительного комитета – 80 процентов;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областных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исполнительных комитетов – 60 процентов.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0" type="#_x0000_t75" style="width:7.5pt;height:7.5pt">
            <v:imagedata r:id="rId21" o:title=""/>
          </v:shape>
        </w:pic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Конкретные размеры и порядок выплаты надбавки за характер труда рабочим определяются руководителями бюджетных организаций;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1" type="#_x0000_t75" style="width:7.5pt;height:7.5pt">
            <v:imagedata r:id="rId21" o:title=""/>
          </v:shape>
        </w:pic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A0_ИНС__1_П_2_2_ПП_2_4_5CN__underpoint_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>2.4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работу в сфере социального обслуживания в следующих размерах от базовой ставки: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работникам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учреждений социального обслуживания: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руководителям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учреждений и их заместителям, главным бухгалтерам и их заместителям, руководителям структурных подразделений (филиалов) и их заместителям (за исключением руководителей и их заместителей из числа медицинских работников) – 115 процентов;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специалистам: воспитателям, учителям-дефектологам, педагогам социальным, психологам, педагогам-психологам, музыкальным руководителям, специалистам по социальной работе, инспекторам по основной деятельности,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культорганизаторам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инструкторам по трудовой терапии, инструкторам-методистам физической реабилитации (инструкторам-методистам по адаптивной физической культуре), руководителям кружка, переводчикам жестового языка, юрисконсультам, бухгалтерам, экономистам, специалистам по организации закупок – 100 процентов;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специалистам (за исключением специалистов из числа медицинских работников) – 80 процентов;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служащим: социальным работникам, медицинским дезинфекторам, сиделкам – 90 процентов;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другим служащим – 50 процентов;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рабочим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 младшим медицинским сестрам (младшим медицинским братьям) по уходу за больными, няням, санитарам(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 поварам, сестрам-хозяйкам – 90 процентов;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рабочим – 45 процентов;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работникам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домов (центров) временного пребывания лиц без определенного места жительства: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руководителям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специалистам (за исключением специалистов из числа медицинских работников) – 45 процентов;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работникам – 35 процентов;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работникам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государственных учреждений социального обслуживания, осуществляющих стационарное социальное обслуживание, отделений круглосуточного пребывания территориальных центров социального обслуживания населения при производстве работы вахтовым методом за 169 часов такой работы – 120 процентов. Надбавка устанавливается со дня производства работы вахтовым методом по основной должности служащего (профессии рабочего) и по занимаемой на условиях совместительства должности служащего (профессии рабочего), а также сверх установленной продолжительности рабочего времени и выплачивается с учетом фактически отработанного рабочего времени при производстве работы вахтовым методом;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2" type="#_x0000_t75" style="width:7.5pt;height:7.5pt">
            <v:imagedata r:id="rId21" o:title=""/>
          </v:shape>
        </w:pic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CA0_ИНС__1_П_2_2_ПП_2_5_9CN__underpoint_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t>2.5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специфику работы в организациях, подчиненных и относящихся к сфере (области) деятельности Министерства труда и социальной защиты, в следующих размерах от оклада: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руководителям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специалистам и другим служащим – 12 процентов;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рабочим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8 процентов.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Надбавка за специфику работы в организациях, подчиненных и относящихся к сфере (области) деятельности Министерства труда и социальной защиты, не устанавливается работникам государственного учреждения образования «Республиканский институт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повышения квалификации и переподготовки работников Министерства труда и социальной защиты Республики Беларусь.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3" type="#_x0000_t75" style="width:7.5pt;height:7.5pt">
            <v:imagedata r:id="rId21" o:title=""/>
          </v:shape>
        </w:pic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CA0_ИНС__1_П_3_3CN__point_3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>3. Доплата за особые условия труда устанавливается работникам психоневрологических домов-интернатов (отделений) для престарелых и инвалидов, домов-интернатов для детей-инвалидов, государственных учреждений «Республиканский реабилитационный центр для детей-инвалидов»,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Копыльский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дом-интернат для престарелых и инвалидов», государственного учреждения социального обслуживания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Яковлевичский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дом-интернат для престарелых и инвалидов», домов (центров) временного пребывания лиц без определенного места жительства, а также работникам структурных подразделений территориальных центров социального обслуживания населения, центров социального обслуживания семьи и детей (социальной помощи семье и детям), оказывающих социальные услуги инвалидам, детям-инвалидам в форме полустационарного социального обслуживания и услуги ассистента, в размере 20 процентов базовой ставки.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Перечни работников, которым устанавливается доплата, определяются руководителями указанных организаций.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4" type="#_x0000_t75" style="width:7.5pt;height:7.5pt">
            <v:imagedata r:id="rId21" o:title=""/>
          </v:shape>
        </w:pic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607F" w:rsidRDefault="00B9607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53C8" w:rsidRPr="00B9607F" w:rsidRDefault="00DC53C8" w:rsidP="00B9607F"/>
    <w:sectPr w:rsidR="00DC53C8" w:rsidRPr="00B9607F" w:rsidSect="00B9607F">
      <w:headerReference w:type="default" r:id="rId24"/>
      <w:pgSz w:w="11906" w:h="16838"/>
      <w:pgMar w:top="1134" w:right="850" w:bottom="1134" w:left="1701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F43" w:rsidRDefault="00FC3F43" w:rsidP="00B9607F">
      <w:pPr>
        <w:spacing w:after="0" w:line="240" w:lineRule="auto"/>
      </w:pPr>
      <w:r>
        <w:separator/>
      </w:r>
    </w:p>
  </w:endnote>
  <w:endnote w:type="continuationSeparator" w:id="0">
    <w:p w:rsidR="00FC3F43" w:rsidRDefault="00FC3F43" w:rsidP="00B9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F43" w:rsidRDefault="00FC3F43" w:rsidP="00B9607F">
      <w:pPr>
        <w:spacing w:after="0" w:line="240" w:lineRule="auto"/>
      </w:pPr>
      <w:r>
        <w:separator/>
      </w:r>
    </w:p>
  </w:footnote>
  <w:footnote w:type="continuationSeparator" w:id="0">
    <w:p w:rsidR="00FC3F43" w:rsidRDefault="00FC3F43" w:rsidP="00B96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75" w:type="pct"/>
      <w:tblLook w:val="01E0" w:firstRow="1" w:lastRow="1" w:firstColumn="1" w:lastColumn="1" w:noHBand="0" w:noVBand="0"/>
    </w:tblPr>
    <w:tblGrid>
      <w:gridCol w:w="7514"/>
      <w:gridCol w:w="1607"/>
    </w:tblGrid>
    <w:tr w:rsidR="00B84B94" w:rsidTr="00B82B7A">
      <w:tc>
        <w:tcPr>
          <w:tcW w:w="7513" w:type="dxa"/>
        </w:tcPr>
        <w:p w:rsidR="00B84B94" w:rsidRPr="006E0D79" w:rsidRDefault="00FC3F43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</w:p>
      </w:tc>
      <w:tc>
        <w:tcPr>
          <w:tcW w:w="1607" w:type="dxa"/>
        </w:tcPr>
        <w:p w:rsidR="00B84B94" w:rsidRDefault="00FC3F43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</w:p>
      </w:tc>
    </w:tr>
  </w:tbl>
  <w:p w:rsidR="00B84B94" w:rsidRPr="00B82B7A" w:rsidRDefault="00FC3F43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7F"/>
    <w:rsid w:val="00B9607F"/>
    <w:rsid w:val="00DC53C8"/>
    <w:rsid w:val="00FC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D4AC58-5784-46B5-8936-6AD1BD1D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07F"/>
  </w:style>
  <w:style w:type="paragraph" w:styleId="a5">
    <w:name w:val="footer"/>
    <w:basedOn w:val="a"/>
    <w:link w:val="a6"/>
    <w:uiPriority w:val="99"/>
    <w:unhideWhenUsed/>
    <w:rsid w:val="00B96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W22136832" TargetMode="External"/><Relationship Id="rId13" Type="http://schemas.openxmlformats.org/officeDocument/2006/relationships/hyperlink" Target="NCPI#G#W22238322" TargetMode="External"/><Relationship Id="rId18" Type="http://schemas.openxmlformats.org/officeDocument/2006/relationships/hyperlink" Target="NCPI#G#P31900027#&amp;Point=9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.wmf"/><Relationship Id="rId7" Type="http://schemas.openxmlformats.org/officeDocument/2006/relationships/hyperlink" Target="NCPI#G#W22136301" TargetMode="External"/><Relationship Id="rId12" Type="http://schemas.openxmlformats.org/officeDocument/2006/relationships/hyperlink" Target="NCPI#G#W22237707" TargetMode="External"/><Relationship Id="rId17" Type="http://schemas.openxmlformats.org/officeDocument/2006/relationships/hyperlink" Target="NCPI#G#P31900027#&amp;Point=7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NCPI#G#W22340564" TargetMode="External"/><Relationship Id="rId20" Type="http://schemas.openxmlformats.org/officeDocument/2006/relationships/hyperlink" Target="NCPI#L#&#1055;&#1088;&#1080;&#1083;_1" TargetMode="External"/><Relationship Id="rId1" Type="http://schemas.openxmlformats.org/officeDocument/2006/relationships/styles" Target="styles.xml"/><Relationship Id="rId6" Type="http://schemas.openxmlformats.org/officeDocument/2006/relationships/hyperlink" Target="NCPI#G#W22036048" TargetMode="External"/><Relationship Id="rId11" Type="http://schemas.openxmlformats.org/officeDocument/2006/relationships/hyperlink" Target="NCPI#G#W22237526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NCPI#G#W22339831" TargetMode="External"/><Relationship Id="rId23" Type="http://schemas.openxmlformats.org/officeDocument/2006/relationships/hyperlink" Target="NCPI#L#&#1047;&#1072;&#1075;_&#1059;&#1090;&#1074;_1" TargetMode="External"/><Relationship Id="rId10" Type="http://schemas.openxmlformats.org/officeDocument/2006/relationships/hyperlink" Target="NCPI#G#W22137165" TargetMode="External"/><Relationship Id="rId19" Type="http://schemas.openxmlformats.org/officeDocument/2006/relationships/hyperlink" Target="NCPI#G#C20101589#&#1047;&#1072;&#1075;_&#1059;&#1090;&#1074;_1&amp;Point=7&amp;UnderPoint=7.1.1" TargetMode="External"/><Relationship Id="rId4" Type="http://schemas.openxmlformats.org/officeDocument/2006/relationships/footnotes" Target="footnotes.xml"/><Relationship Id="rId9" Type="http://schemas.openxmlformats.org/officeDocument/2006/relationships/hyperlink" Target="NCPI#G#W22136832" TargetMode="External"/><Relationship Id="rId14" Type="http://schemas.openxmlformats.org/officeDocument/2006/relationships/hyperlink" Target="NCPI#G#W22239090" TargetMode="External"/><Relationship Id="rId22" Type="http://schemas.openxmlformats.org/officeDocument/2006/relationships/hyperlink" Target="NCPI#L#&#1055;&#1088;&#1080;&#1083;_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2023-11-22T09:08:00Z</dcterms:created>
  <dcterms:modified xsi:type="dcterms:W3CDTF">2023-11-22T09:11:00Z</dcterms:modified>
</cp:coreProperties>
</file>