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CE" w:rsidRDefault="00C274CE" w:rsidP="00C274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Временно свободная площадь ОАО «Сморгоньагросервис» (г.Сморгонь, УНП 500063122)</w:t>
      </w:r>
    </w:p>
    <w:p w:rsidR="00484ED5" w:rsidRPr="00484ED5" w:rsidRDefault="00484ED5" w:rsidP="00484ED5">
      <w:pPr>
        <w:tabs>
          <w:tab w:val="left" w:pos="1286"/>
        </w:tabs>
        <w:spacing w:line="25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4ED5">
        <w:rPr>
          <w:rFonts w:ascii="Times New Roman" w:hAnsi="Times New Roman" w:cs="Times New Roman"/>
          <w:sz w:val="32"/>
          <w:szCs w:val="32"/>
        </w:rPr>
        <w:t>231042 г. Сморгонь, ул. Тракторная, 64. Тел. 4 52 02.</w:t>
      </w:r>
    </w:p>
    <w:tbl>
      <w:tblPr>
        <w:tblStyle w:val="a3"/>
        <w:tblW w:w="16350" w:type="dxa"/>
        <w:tblInd w:w="-856" w:type="dxa"/>
        <w:tblLayout w:type="fixed"/>
        <w:tblLook w:val="04A0"/>
      </w:tblPr>
      <w:tblGrid>
        <w:gridCol w:w="566"/>
        <w:gridCol w:w="1701"/>
        <w:gridCol w:w="2126"/>
        <w:gridCol w:w="1559"/>
        <w:gridCol w:w="1560"/>
        <w:gridCol w:w="1984"/>
        <w:gridCol w:w="1276"/>
        <w:gridCol w:w="1701"/>
        <w:gridCol w:w="3877"/>
      </w:tblGrid>
      <w:tr w:rsidR="00C274CE" w:rsidTr="00484E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CE" w:rsidRDefault="00C274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CE" w:rsidRDefault="00C274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CE" w:rsidRDefault="00C274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CE" w:rsidRDefault="00C274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CE" w:rsidRDefault="00C274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CE" w:rsidRDefault="00C274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целевое назначение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CE" w:rsidRDefault="00C274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в аренду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CE" w:rsidRDefault="00C274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E" w:rsidRDefault="00C274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4CE" w:rsidTr="00484ED5">
        <w:trPr>
          <w:trHeight w:val="5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CE" w:rsidRDefault="00C274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CE" w:rsidRDefault="00C274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складского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CE" w:rsidRDefault="00484E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  <w:r w:rsidR="00C274CE">
              <w:rPr>
                <w:rFonts w:ascii="Times New Roman" w:hAnsi="Times New Roman" w:cs="Times New Roman"/>
                <w:sz w:val="28"/>
                <w:szCs w:val="28"/>
              </w:rPr>
              <w:t>.Сморгонь, ул.Тракторная, 70а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CE" w:rsidRDefault="008E6B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3C">
              <w:rPr>
                <w:rFonts w:ascii="Times New Roman" w:hAnsi="Times New Roman" w:cs="Times New Roman"/>
                <w:sz w:val="24"/>
                <w:szCs w:val="24"/>
              </w:rPr>
              <w:t xml:space="preserve">Бетонный фундамент, стены кирпичные, перекрытия ж/бетонные, кровля – шифер. Оконные проемы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2B3C">
              <w:rPr>
                <w:rFonts w:ascii="Times New Roman" w:hAnsi="Times New Roman" w:cs="Times New Roman"/>
                <w:sz w:val="24"/>
                <w:szCs w:val="24"/>
              </w:rPr>
              <w:t xml:space="preserve"> стеклоблоки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дверные проемы – железные ворота. Электроосвещение  - открытая проводка. Наличие рампы.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CE" w:rsidRDefault="00C274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CE" w:rsidRDefault="00C274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и хранения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CE" w:rsidRDefault="00C274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договор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CE" w:rsidRDefault="00C274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Коэф-фициент в зависимости от спроса на недвижимое имущество установлен в размере 3,0 к базовой ставке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CE" w:rsidRDefault="00C274C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18385" cy="4125595"/>
                  <wp:effectExtent l="0" t="0" r="5715" b="8255"/>
                  <wp:docPr id="2" name="Рисунок 2" descr="C:\Users\User\Desktop\склад 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склад 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385" cy="412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49D5" w:rsidRDefault="000D49D5"/>
    <w:sectPr w:rsidR="000D49D5" w:rsidSect="00C274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C274CE"/>
    <w:rsid w:val="000D49D5"/>
    <w:rsid w:val="00484ED5"/>
    <w:rsid w:val="00805F04"/>
    <w:rsid w:val="008E6B1F"/>
    <w:rsid w:val="00C274CE"/>
    <w:rsid w:val="00FE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C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2022-06-24T07:08:00Z</dcterms:created>
  <dcterms:modified xsi:type="dcterms:W3CDTF">2022-06-24T07:08:00Z</dcterms:modified>
</cp:coreProperties>
</file>