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F3" w:rsidRPr="001C0228" w:rsidRDefault="003A31F3" w:rsidP="003A3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47D" w:rsidRPr="003F147D" w:rsidRDefault="003F147D" w:rsidP="003F14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z w:val="28"/>
          <w:szCs w:val="20"/>
          <w:lang w:eastAsia="ru-RU"/>
        </w:rPr>
        <w:t>О ПРИМЕНЕНИИ ПРИХОДНЫХ КАССОВЫХ ОРДЕРОВ С 01.10.2017</w:t>
      </w:r>
    </w:p>
    <w:p w:rsidR="003F147D" w:rsidRPr="003F147D" w:rsidRDefault="003F147D" w:rsidP="003F147D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С 01.10.2017 приходный кассовый ордер (ПКО) и ПКО (валютный)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не являются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бланками документов с определенной степенью защиты. Они также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исключены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из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перечня бланков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документов с определенной степенью защиты, информация о которых подлежит включению в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электронный банк данных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бланков документов и документов с определенной степенью защиты и печатной продукции.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С этой даты организации и индивидуальные предприниматели (ИП), которые обязаны их заполнять, не приобретают у специализированных организаций "нумерованные" бланки ПКО. Эти документы оформляются в таком же порядке, как и расходные кассовые ордера (РКО). То есть при оформлении на компьютере их можно выводить на печать на обычный лист бумаги. А для ручного заполнения бланки ПКО можно заказать в типографии. Однако при этом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нужно соблюдать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утвержденную Минфином форму. Отметим, что сама форма ПКО не изменилась.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Тем организациям и ИП, у которых имеются "защищенные" бланки ПКО, приобретенные до 01.10.2017, нужно сделать следующее.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1.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 приходно-расходной </w:t>
      </w:r>
      <w:hyperlink r:id="rId6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книге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по учету бланков строгой отчетности и </w:t>
      </w:r>
      <w:hyperlink r:id="rId7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карточке-справке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по выданным и использованным бланкам строгой отчетности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отразить все операции за сентябрь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2.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Провести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инвентаризацию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бланков ПКО по состоянию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на 01.10.2017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. Она проводится в обычном порядке: издается приказ, в </w:t>
      </w:r>
      <w:proofErr w:type="gramStart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нем</w:t>
      </w:r>
      <w:proofErr w:type="gram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 том числе определяется состав инвентаризационной комиссии, составляется инвентаризационная опись по </w:t>
      </w:r>
      <w:hyperlink r:id="rId8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форме 13-инв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или по форме, которая разработана и утверждена организацией самостоятельно.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3.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Внести в приходно-расходную книгу по учету бланков строгой отчетности и карточку-справку по выданным и использованным бланкам строгой отчетности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запись об исключении бланков ПКО (с указанием серий и номеров), имеющихся на начало 01.10.2017, из числа документов с определенной степенью защиты.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4.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Составить бухгалтерскую справку-расчет на списание бланков ПКО с </w:t>
      </w:r>
      <w:proofErr w:type="spellStart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забалансового</w:t>
      </w:r>
      <w:proofErr w:type="spell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учета. На основании этого документа произвести бухгалтерскую запись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по кредиту счета 006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"Бланки документов с определенной степенью защиты".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После этого указанные бланки можно использовать для оформления приходных кассовых операций в установленном порядке до полного их использования. Однако они уже не будут являться бланками с определенной степенью защиты.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proofErr w:type="gramStart"/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Прием наличных денег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 случаях оказания разовых услуг, реализации бывшего в употреблении имущества, при которых прием наличных денежных средств осуществляется в кассу организации,  продажи (за исключением продажи в торговых объектах) продукции животноводства, растениеводства, пчеловодства и рыболовства, оказание платных услуг населению юридическими лицами и индивидуальными предпринимателями, осуществляющими деятельность по производству сельскохозяйственной продукции, если расчет за реализованную продукцию и оказанные услуги производится</w:t>
      </w:r>
      <w:proofErr w:type="gram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наличными денежными средствами непосредственно в кассу юридического лица или индивидуального предпринимателя, должен осуществляться с оформлением документа с определенной степенью защиты (</w:t>
      </w:r>
      <w:hyperlink r:id="rId9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п. 32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Положения N 924/16).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До 01.10.2017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к таким документам относились </w:t>
      </w:r>
      <w:hyperlink r:id="rId10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ПКО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 </w:t>
      </w:r>
      <w:hyperlink r:id="rId11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квитанция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о приеме наличных денежных средств. 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С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01.10.2017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бланк </w:t>
      </w:r>
      <w:hyperlink r:id="rId12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ПКО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не является бланком документа с определенной степенью защиты (</w:t>
      </w:r>
      <w:hyperlink r:id="rId13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Постановление N 703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). </w:t>
      </w:r>
      <w:proofErr w:type="gramStart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Поэтому с этой даты в случаях оказания разовых услуг, реализации бывшего в употреблении имущества, при которых прием наличных денежных средств осуществляется в кассу организации,  продажи (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за исключением продажи в торговых объектах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) продукции животноводства, растениеводства, пчеловодства и рыболовства, оказание платных услуг населению юридическими лицами и индивидуальными предпринимателями, осуществляющими деятельность по производству сельскохозяйственной продукции, если расчет за реализованную продукцию и оказанные услуги</w:t>
      </w:r>
      <w:proofErr w:type="gramEnd"/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производится наличными денежными средствами непосредственно в кассу юридического лица или индивидуального предпринимателя на прием наличных денег нужно оформить два документа: </w:t>
      </w:r>
      <w:hyperlink r:id="rId14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квитанцию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о приеме наличных денежных средств и </w:t>
      </w:r>
      <w:hyperlink r:id="rId15" w:history="1">
        <w:r w:rsidRPr="003F147D">
          <w:rPr>
            <w:rFonts w:ascii="Times New Roman" w:eastAsia="Times New Roman" w:hAnsi="Times New Roman"/>
            <w:snapToGrid w:val="0"/>
            <w:szCs w:val="20"/>
            <w:lang w:eastAsia="ru-RU"/>
          </w:rPr>
          <w:t>ПКО</w:t>
        </w:r>
      </w:hyperlink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>.</w:t>
      </w:r>
    </w:p>
    <w:p w:rsidR="003F147D" w:rsidRPr="003F147D" w:rsidRDefault="003F147D" w:rsidP="003F14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t xml:space="preserve">При расчетах с покупателем непосредственно в объектах, в которых реализуются товары (выполняются работы, оказываются услуги), или вне места деятельности организации или индивидуального предпринимателя (например, на дому у покупателя (заказчика)) либо на период ремонта кассового оборудования при невозможности его замены на исправное кассовое </w:t>
      </w:r>
      <w:r w:rsidRPr="003F147D">
        <w:rPr>
          <w:rFonts w:ascii="Times New Roman" w:eastAsia="Times New Roman" w:hAnsi="Times New Roman"/>
          <w:snapToGrid w:val="0"/>
          <w:szCs w:val="20"/>
          <w:lang w:eastAsia="ru-RU"/>
        </w:rPr>
        <w:lastRenderedPageBreak/>
        <w:t xml:space="preserve">оборудование или при временном отсутствии электроэнергии юридические лица и индивидуальные предприниматели </w:t>
      </w:r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оформляется </w:t>
      </w:r>
      <w:hyperlink r:id="rId16" w:history="1">
        <w:proofErr w:type="gramStart"/>
        <w:r w:rsidRPr="003F147D">
          <w:rPr>
            <w:rFonts w:ascii="Times New Roman" w:eastAsia="Times New Roman" w:hAnsi="Times New Roman"/>
            <w:b/>
            <w:snapToGrid w:val="0"/>
            <w:szCs w:val="20"/>
            <w:lang w:eastAsia="ru-RU"/>
          </w:rPr>
          <w:t>квитанци</w:t>
        </w:r>
      </w:hyperlink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>я</w:t>
      </w:r>
      <w:proofErr w:type="gramEnd"/>
      <w:r w:rsidRPr="003F147D">
        <w:rPr>
          <w:rFonts w:ascii="Times New Roman" w:eastAsia="Times New Roman" w:hAnsi="Times New Roman"/>
          <w:b/>
          <w:snapToGrid w:val="0"/>
          <w:szCs w:val="20"/>
          <w:lang w:eastAsia="ru-RU"/>
        </w:rPr>
        <w:t xml:space="preserve"> о приеме наличных денежных средств.</w:t>
      </w:r>
    </w:p>
    <w:p w:rsidR="007B73F5" w:rsidRDefault="007B73F5" w:rsidP="00D34F46">
      <w:pPr>
        <w:tabs>
          <w:tab w:val="left" w:pos="9468"/>
        </w:tabs>
        <w:autoSpaceDE w:val="0"/>
        <w:autoSpaceDN w:val="0"/>
        <w:adjustRightInd w:val="0"/>
        <w:spacing w:after="0" w:line="280" w:lineRule="exact"/>
        <w:ind w:right="-30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bookmarkStart w:id="0" w:name="_GoBack"/>
      <w:bookmarkEnd w:id="0"/>
    </w:p>
    <w:sectPr w:rsidR="007B73F5" w:rsidSect="006826B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BD8"/>
    <w:multiLevelType w:val="hybridMultilevel"/>
    <w:tmpl w:val="FE7CA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74C150F"/>
    <w:multiLevelType w:val="hybridMultilevel"/>
    <w:tmpl w:val="5A281022"/>
    <w:lvl w:ilvl="0" w:tplc="45368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A2773"/>
    <w:rsid w:val="00027073"/>
    <w:rsid w:val="00047BBE"/>
    <w:rsid w:val="00055037"/>
    <w:rsid w:val="00174D3F"/>
    <w:rsid w:val="001A2773"/>
    <w:rsid w:val="001C0228"/>
    <w:rsid w:val="002C2A90"/>
    <w:rsid w:val="0034762B"/>
    <w:rsid w:val="003A31F3"/>
    <w:rsid w:val="003F147D"/>
    <w:rsid w:val="00403887"/>
    <w:rsid w:val="004112C9"/>
    <w:rsid w:val="004B2832"/>
    <w:rsid w:val="005261C9"/>
    <w:rsid w:val="00540BC7"/>
    <w:rsid w:val="00547E05"/>
    <w:rsid w:val="00565439"/>
    <w:rsid w:val="005B0548"/>
    <w:rsid w:val="00605B12"/>
    <w:rsid w:val="006150B0"/>
    <w:rsid w:val="00667F71"/>
    <w:rsid w:val="006826B2"/>
    <w:rsid w:val="006E116F"/>
    <w:rsid w:val="00704CE2"/>
    <w:rsid w:val="00742B9C"/>
    <w:rsid w:val="00792A4A"/>
    <w:rsid w:val="007B042E"/>
    <w:rsid w:val="007B6A51"/>
    <w:rsid w:val="007B73F5"/>
    <w:rsid w:val="007F7352"/>
    <w:rsid w:val="00804F25"/>
    <w:rsid w:val="00843D12"/>
    <w:rsid w:val="00873208"/>
    <w:rsid w:val="0093039D"/>
    <w:rsid w:val="009A7B21"/>
    <w:rsid w:val="009D11A1"/>
    <w:rsid w:val="009E2C13"/>
    <w:rsid w:val="009F1586"/>
    <w:rsid w:val="00AA1D3A"/>
    <w:rsid w:val="00AA3B42"/>
    <w:rsid w:val="00AE58AD"/>
    <w:rsid w:val="00BA7188"/>
    <w:rsid w:val="00BE1CDE"/>
    <w:rsid w:val="00CC6F0B"/>
    <w:rsid w:val="00CC728E"/>
    <w:rsid w:val="00CD1F1B"/>
    <w:rsid w:val="00CD4CA0"/>
    <w:rsid w:val="00D01EF2"/>
    <w:rsid w:val="00D34F46"/>
    <w:rsid w:val="00D507A0"/>
    <w:rsid w:val="00D51107"/>
    <w:rsid w:val="00D612AE"/>
    <w:rsid w:val="00D67023"/>
    <w:rsid w:val="00DC6670"/>
    <w:rsid w:val="00DE13A8"/>
    <w:rsid w:val="00E400D9"/>
    <w:rsid w:val="00EE53F3"/>
    <w:rsid w:val="00F12808"/>
    <w:rsid w:val="00F62516"/>
    <w:rsid w:val="00FB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CC728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7B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7320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87320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6">
    <w:name w:val="Знак Знак Знак Знак"/>
    <w:basedOn w:val="a"/>
    <w:autoRedefine/>
    <w:rsid w:val="00873208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037"/>
    <w:pPr>
      <w:ind w:left="720"/>
      <w:contextualSpacing/>
    </w:pPr>
    <w:rPr>
      <w:lang w:val="en-US" w:bidi="en-US"/>
    </w:rPr>
  </w:style>
  <w:style w:type="character" w:styleId="aa">
    <w:name w:val="Hyperlink"/>
    <w:rsid w:val="00055037"/>
    <w:rPr>
      <w:color w:val="0000FF"/>
      <w:u w:val="single"/>
    </w:rPr>
  </w:style>
  <w:style w:type="paragraph" w:customStyle="1" w:styleId="ab">
    <w:name w:val="Знак Знак Знак Знак"/>
    <w:basedOn w:val="a"/>
    <w:autoRedefine/>
    <w:rsid w:val="00D612A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CC728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7B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73208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87320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a6">
    <w:name w:val="Знак Знак Знак Знак"/>
    <w:basedOn w:val="a"/>
    <w:autoRedefine/>
    <w:rsid w:val="00873208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7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2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5037"/>
    <w:pPr>
      <w:ind w:left="720"/>
      <w:contextualSpacing/>
    </w:pPr>
    <w:rPr>
      <w:lang w:val="en-US" w:bidi="en-US"/>
    </w:rPr>
  </w:style>
  <w:style w:type="character" w:styleId="aa">
    <w:name w:val="Hyperlink"/>
    <w:rsid w:val="00055037"/>
    <w:rPr>
      <w:color w:val="0000FF"/>
      <w:u w:val="single"/>
    </w:rPr>
  </w:style>
  <w:style w:type="paragraph" w:customStyle="1" w:styleId="ab">
    <w:name w:val="Знак Знак Знак Знак"/>
    <w:basedOn w:val="a"/>
    <w:autoRedefine/>
    <w:rsid w:val="00D612AE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1A78F5FA87B021CAD1606B7B42B4A643B635B7AFDCE4A070F7F939211F4072FA858513017D77B3611E81DD3ADQAH" TargetMode="External"/><Relationship Id="rId13" Type="http://schemas.openxmlformats.org/officeDocument/2006/relationships/hyperlink" Target="consultantplus://offline/ref=6632DB099F828CE8CFB4A240101E1AAD83CE8A2BEB7968C3FFE0DDA6E71F7A312771yEu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1A78F5FA87B021CAD1606B7B42B4A643B635B7AF4C948000A75CE9819AD0B2DAF570E27109E773711E91EADQ4H" TargetMode="External"/><Relationship Id="rId12" Type="http://schemas.openxmlformats.org/officeDocument/2006/relationships/hyperlink" Target="consultantplus://offline/ref=6632DB099F828CE8CFB4A240101E1AAD83CE8A2BEB7969CEFEE6D4A6E71F7A312771E44164A9993F0782A355A3yAuA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32DB099F828CE8CFB4A240101E1AAD83CE8A2BEB7969CFF8E4DDA6E71F7A312771E44164A9993F0782A356A3yAu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1A78F5FA87B021CAD1606B7B42B4A643B635B7AF4C948000A75CE9819AD0B2DAF570E27109E773711E918ADQ6H" TargetMode="External"/><Relationship Id="rId11" Type="http://schemas.openxmlformats.org/officeDocument/2006/relationships/hyperlink" Target="consultantplus://offline/ref=6632DB099F828CE8CFB4A240101E1AAD83CE8A2BEB7969CFF8E4DDA6E71F7A312771E44164A9993F0782A356A3yAu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32DB099F828CE8CFB4A240101E1AAD83CE8A2BEB7969CEFEE6D4A6E71F7A312771E44164A9993F0782A355A3yAuAH" TargetMode="External"/><Relationship Id="rId10" Type="http://schemas.openxmlformats.org/officeDocument/2006/relationships/hyperlink" Target="consultantplus://offline/ref=6632DB099F828CE8CFB4A240101E1AAD83CE8A2BEB7969CEFEE6D4A6E71F7A312771E44164A9993F0782A355A3yAuA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2DB099F828CE8CFB4A240101E1AAD83CE8A2BEB7968C0FDEFDBA6E71F7A312771E44164A9993F0782A355A7yAu8H" TargetMode="External"/><Relationship Id="rId14" Type="http://schemas.openxmlformats.org/officeDocument/2006/relationships/hyperlink" Target="consultantplus://offline/ref=6632DB099F828CE8CFB4A240101E1AAD83CE8A2BEB7969CFF8E4DDA6E71F7A312771E44164A9993F0782A356A3yA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1225-1FFC-479D-9BBB-12EF8F0E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Test</cp:lastModifiedBy>
  <cp:revision>4</cp:revision>
  <cp:lastPrinted>2017-10-06T07:55:00Z</cp:lastPrinted>
  <dcterms:created xsi:type="dcterms:W3CDTF">2018-01-18T09:51:00Z</dcterms:created>
  <dcterms:modified xsi:type="dcterms:W3CDTF">2018-01-18T09:54:00Z</dcterms:modified>
</cp:coreProperties>
</file>