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1" w:rsidRDefault="00F465C1" w:rsidP="00A123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57B84" w:rsidRPr="00757B84" w:rsidRDefault="00757B84" w:rsidP="00757B84">
      <w:pPr>
        <w:pStyle w:val="1"/>
        <w:jc w:val="center"/>
        <w:rPr>
          <w:rStyle w:val="apple-converted-space"/>
          <w:b/>
          <w:bCs/>
          <w:color w:val="242424"/>
          <w:szCs w:val="28"/>
        </w:rPr>
      </w:pPr>
      <w:r w:rsidRPr="00757B84">
        <w:rPr>
          <w:rStyle w:val="h-normal"/>
          <w:b/>
          <w:bCs/>
          <w:color w:val="242424"/>
          <w:szCs w:val="28"/>
        </w:rPr>
        <w:t>НАЛОГОВЫЕ</w:t>
      </w:r>
      <w:r w:rsidRPr="00757B84">
        <w:rPr>
          <w:rStyle w:val="apple-converted-space"/>
          <w:b/>
          <w:bCs/>
          <w:color w:val="242424"/>
          <w:szCs w:val="28"/>
        </w:rPr>
        <w:t> </w:t>
      </w:r>
      <w:r w:rsidRPr="00757B84">
        <w:rPr>
          <w:rStyle w:val="af2"/>
          <w:b/>
          <w:bCs/>
          <w:i w:val="0"/>
          <w:color w:val="242424"/>
          <w:szCs w:val="28"/>
        </w:rPr>
        <w:t>ЛЬГОТЫ</w:t>
      </w:r>
    </w:p>
    <w:p w:rsidR="00757B84" w:rsidRPr="00757B84" w:rsidRDefault="00757B84" w:rsidP="00757B84">
      <w:pPr>
        <w:pStyle w:val="1"/>
        <w:jc w:val="center"/>
        <w:rPr>
          <w:b/>
        </w:rPr>
      </w:pPr>
      <w:r w:rsidRPr="00757B84">
        <w:rPr>
          <w:rStyle w:val="h-normal"/>
          <w:b/>
          <w:bCs/>
          <w:color w:val="242424"/>
          <w:szCs w:val="28"/>
        </w:rPr>
        <w:t>ПО</w:t>
      </w:r>
      <w:r w:rsidRPr="00757B84">
        <w:rPr>
          <w:rStyle w:val="apple-converted-space"/>
          <w:b/>
          <w:bCs/>
          <w:color w:val="242424"/>
          <w:szCs w:val="28"/>
        </w:rPr>
        <w:t> </w:t>
      </w:r>
      <w:r w:rsidRPr="00757B84">
        <w:rPr>
          <w:rStyle w:val="af2"/>
          <w:b/>
          <w:bCs/>
          <w:i w:val="0"/>
          <w:color w:val="242424"/>
          <w:szCs w:val="28"/>
        </w:rPr>
        <w:t>ИННОВАЦИОННОЙ</w:t>
      </w:r>
      <w:r w:rsidRPr="00757B84">
        <w:rPr>
          <w:rStyle w:val="apple-converted-space"/>
          <w:b/>
          <w:bCs/>
          <w:color w:val="242424"/>
          <w:szCs w:val="28"/>
        </w:rPr>
        <w:t> </w:t>
      </w:r>
      <w:r w:rsidRPr="00757B84">
        <w:rPr>
          <w:rStyle w:val="h-normal"/>
          <w:b/>
          <w:bCs/>
          <w:color w:val="242424"/>
          <w:szCs w:val="28"/>
        </w:rPr>
        <w:t>ДЕЯТЕЛЬНОСТИ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Налоговым законодательством предусмотрен ряд налоговых</w:t>
      </w:r>
      <w:r>
        <w:rPr>
          <w:rStyle w:val="apple-converted-space"/>
          <w:color w:val="242424"/>
          <w:sz w:val="30"/>
          <w:szCs w:val="30"/>
        </w:rPr>
        <w:t> </w:t>
      </w:r>
      <w:r w:rsidRPr="00757B84">
        <w:rPr>
          <w:rStyle w:val="af2"/>
          <w:i w:val="0"/>
          <w:color w:val="242424"/>
          <w:sz w:val="30"/>
          <w:szCs w:val="30"/>
        </w:rPr>
        <w:t>льгот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для организаций, осуществляющих инвестирование в исследования и разработки, а также выпускающих</w:t>
      </w:r>
      <w:r>
        <w:rPr>
          <w:rStyle w:val="apple-converted-space"/>
          <w:color w:val="242424"/>
          <w:sz w:val="30"/>
          <w:szCs w:val="30"/>
        </w:rPr>
        <w:t> </w:t>
      </w:r>
      <w:r w:rsidRPr="00757B84">
        <w:rPr>
          <w:rStyle w:val="af2"/>
          <w:i w:val="0"/>
          <w:color w:val="242424"/>
          <w:sz w:val="30"/>
          <w:szCs w:val="30"/>
        </w:rPr>
        <w:t>инновационную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высокотехнологическую продукцию.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Н</w:t>
      </w:r>
      <w:r>
        <w:rPr>
          <w:rStyle w:val="font-weightbold"/>
          <w:b/>
          <w:bCs/>
          <w:color w:val="242424"/>
          <w:sz w:val="30"/>
          <w:szCs w:val="30"/>
        </w:rPr>
        <w:t>алог на добавленную стоимость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рамках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Указа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Президента Республики Беларусь от 03.01.2007 № 1 "Об утверждении Положения о порядке создания субъектов инновационной инфраструктуры" (далее - Указ № 1) научно-технологические парки и (или) их резиденты в период реализации проекта Государственной программы инновационного развития (далее - ГПИР) освобождаются от взимания налога на добавленную стоимость при ввозе на таможенную территорию Республики Беларусь технологического оборудования, комплектующих и запасных частей к нему (далее - товары). При этом установлено, что эти материалы должны использоваться исключительно в целях реализации соответствующего проекта.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применения указанного освобождения необходимо представить в таможенный орган заключение Государственного комитета по науке и технологиям о предназначении ввозимых товаров. Заключение должно содержать сведения о наименовании, количестве и стоимости товаров, лицах, осуществляющих их ввоз, реквизитах внешнеэкономических контрактов, на основании которых осуществляется ввоз товаров.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нецелевого использования таких товаров налог на добавленную стоимость, не взимаемый при ввозе, уплачивается (взыскивается) в соответствии с законодательством.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Кроме того, от налога на добавленную стоимость освобождаются обороты по реализации на территории Республики Беларусь научно-исследовательских, опытно-конструкторских, опытно-технологических работ (НИОКТР), зарегистрированных в государственном реестре НИОКТР в порядке, определяемом Президентом Республики Беларусь (</w:t>
      </w:r>
      <w:r>
        <w:rPr>
          <w:rStyle w:val="colorff00ff"/>
          <w:color w:val="242424"/>
          <w:sz w:val="30"/>
          <w:szCs w:val="30"/>
        </w:rPr>
        <w:t>подпункт 1.23 пункта 1 статьи 118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Н</w:t>
      </w:r>
      <w:r>
        <w:rPr>
          <w:rStyle w:val="font-weightbold"/>
          <w:b/>
          <w:bCs/>
          <w:color w:val="242424"/>
          <w:sz w:val="30"/>
          <w:szCs w:val="30"/>
        </w:rPr>
        <w:t>алог на прибыль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Прибыль организаций, полученная от реализации продукции собственного производства, освобождается от налогообложения, если такая продукция является инновационной в соответствии 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перечнем, определенным Советом Министров Республики Беларусь (</w:t>
      </w:r>
      <w:r>
        <w:rPr>
          <w:rStyle w:val="colorff00ff"/>
          <w:color w:val="242424"/>
          <w:sz w:val="30"/>
          <w:szCs w:val="30"/>
        </w:rPr>
        <w:t>пункт 7 статьи 181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ont-styleitalic"/>
          <w:i/>
          <w:iCs/>
          <w:color w:val="242424"/>
          <w:sz w:val="30"/>
          <w:szCs w:val="30"/>
        </w:rPr>
        <w:t>Справочно.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colorff00fffont-styleitalic"/>
          <w:i/>
          <w:iCs/>
          <w:color w:val="242424"/>
          <w:sz w:val="30"/>
          <w:szCs w:val="30"/>
        </w:rPr>
        <w:t>Перечень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 xml:space="preserve">инновационных товаров утвержден постановлением Совета Министров Республики Беларусь от 05.12.2013 </w:t>
      </w:r>
      <w:r>
        <w:rPr>
          <w:rStyle w:val="font-styleitalic"/>
          <w:i/>
          <w:iCs/>
          <w:color w:val="242424"/>
          <w:sz w:val="30"/>
          <w:szCs w:val="30"/>
        </w:rPr>
        <w:lastRenderedPageBreak/>
        <w:t>№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1042 "Об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утверждении перечня инновационных товаров Республики Беларусь" (с учетом изменений и дополнений).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Кроме того, прибыль, полученная от реализации товаров собственного производства, которые являются высокотехнологичными в соответствии 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перечнем, определяемым Советом Министров Республики Беларусь по согласованию с Президентом Республики Беларусь, освобождается от налога на прибыль, в случае если доля выручки, полученная от реализации таких товаров, составляет более 50 процентов общей суммы выручки, полученной от реализации товаров (работ, услуг), имущественных прав, включая доходы от предоставления в аренду (финансовую аренду (лизинг)) имущества (</w:t>
      </w:r>
      <w:r>
        <w:rPr>
          <w:rStyle w:val="colorff00ff"/>
          <w:color w:val="242424"/>
          <w:sz w:val="30"/>
          <w:szCs w:val="30"/>
        </w:rPr>
        <w:t>пункт 8 статьи 181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если доля выручки составляет 50% или меньше общей суммы выручки от реализации товаров собственного производства, которые являются высокотехнологичными, производитель может применить ставку по налогу на прибыль в размере 10% (</w:t>
      </w:r>
      <w:r>
        <w:rPr>
          <w:rStyle w:val="colorff00ff"/>
          <w:color w:val="242424"/>
          <w:sz w:val="30"/>
          <w:szCs w:val="30"/>
        </w:rPr>
        <w:t>пункт 3 статьи 184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fffont-styleitalic"/>
          <w:i/>
          <w:iCs/>
          <w:color w:val="242424"/>
          <w:sz w:val="30"/>
          <w:szCs w:val="30"/>
        </w:rPr>
        <w:t>Перечень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высокотехнологичных товаров утвержден постановлением Совета Министров Республики Беларусь от 23.06.2012 №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574 "Об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утверждении перечня высокотехнологичных товаров Республики Беларусь" (с учетом изменений и дополнений).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Научно-технологические парки, центры трансфера технологий, резиденты научно-технологических парков уплачивают налог на прибыль по ставке десять (10) процентов (за исключением налога на прибыль, исчисляемого, удерживаемого и перечисляемого при исполнении обязанностей налогового агента) (</w:t>
      </w:r>
      <w:r>
        <w:rPr>
          <w:rStyle w:val="colorff00ff"/>
          <w:color w:val="242424"/>
          <w:sz w:val="30"/>
          <w:szCs w:val="30"/>
        </w:rPr>
        <w:t>пункт 2 статьи 184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 Указанная ставка применяется при представлении в инспекцию Министерства по налогам и сборам Республики Беларусь по месту постановки на учет ежегодно подтверждения Государственного комитета по науке и технологиям Республики Беларусь о соблюдении научно-технологическими парками, центрами трансфера технологий и резидентами научно-технологических парков, что деятельность научно-технологических парков, центров трансфера технологий соответствует направлениям деятельности, определенным законодательством, а деятельность резидентов научно-технологических парков является в соответствии 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законодательством инновационной.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Также научно-технологические парки и их резиденты, уплачивающие отчисления в фонд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af2"/>
          <w:color w:val="242424"/>
          <w:sz w:val="30"/>
          <w:szCs w:val="30"/>
        </w:rPr>
        <w:t>инновационного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развития, освобождаются от уплаты налога на прибыль в размере 50% суммы налога, исчисленного за отчетный (налоговый) период.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af2"/>
          <w:color w:val="242424"/>
          <w:sz w:val="30"/>
          <w:szCs w:val="30"/>
        </w:rPr>
        <w:t>Льготу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можно применить при условии, что отчисления в фонд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af2"/>
          <w:color w:val="242424"/>
          <w:sz w:val="30"/>
          <w:szCs w:val="30"/>
        </w:rPr>
        <w:t>инновационного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развития фактически перечислены ими в этом же отчетном (налоговом) периоде (</w:t>
      </w:r>
      <w:r>
        <w:rPr>
          <w:rStyle w:val="colorff00ff"/>
          <w:color w:val="242424"/>
          <w:sz w:val="30"/>
          <w:szCs w:val="30"/>
        </w:rPr>
        <w:t>ч. 11 подп. 2.1 п.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№ 1).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Денежные средства, образующиеся у научно-технологических парков для формирования фонда инновационного развития, а также </w:t>
      </w:r>
      <w:r>
        <w:rPr>
          <w:rStyle w:val="h-normal"/>
          <w:color w:val="242424"/>
          <w:sz w:val="30"/>
          <w:szCs w:val="30"/>
        </w:rPr>
        <w:lastRenderedPageBreak/>
        <w:t>средства, получаемые научно-технологическими парками и их резидентами из фондов инновационного развития, при исчислении налога на прибыль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не включаются в состав внереализационных доходов</w:t>
      </w:r>
      <w:r>
        <w:rPr>
          <w:rStyle w:val="h-normal"/>
          <w:color w:val="242424"/>
          <w:sz w:val="30"/>
          <w:szCs w:val="30"/>
        </w:rPr>
        <w:t>, учитываемых при налогообложении.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Суммы денежных средств, перечисленных научно-технологическими парками и их резидентами в фонд инновационного развития,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не</w:t>
      </w:r>
      <w:r>
        <w:rPr>
          <w:rStyle w:val="fake-non-breaking-space"/>
          <w:b/>
          <w:bCs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включаются в состав затрат и внереализационных расходов</w:t>
      </w:r>
      <w:r>
        <w:rPr>
          <w:rStyle w:val="h-normal"/>
          <w:color w:val="242424"/>
          <w:sz w:val="30"/>
          <w:szCs w:val="30"/>
        </w:rPr>
        <w:t>, учитываемых при налогообложении (</w:t>
      </w:r>
      <w:r>
        <w:rPr>
          <w:rStyle w:val="colorff00ff"/>
          <w:color w:val="242424"/>
          <w:sz w:val="30"/>
          <w:szCs w:val="30"/>
        </w:rPr>
        <w:t>подп. 2.1 п.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1).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Кроме того, предусмотрена возможность включения в затраты НИОКТР в том случае, если результатом их выполнения не стало создание амортизируемого имущества с применением повышающего коэффициента до 1,5 включительно, в порядке, определяемом Президентом Республики Беларусь (</w:t>
      </w:r>
      <w:r>
        <w:rPr>
          <w:rStyle w:val="colorff00ff"/>
          <w:color w:val="242424"/>
          <w:sz w:val="30"/>
          <w:szCs w:val="30"/>
        </w:rPr>
        <w:t>подп. 2.3 п. 2 ст. 170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целях снижения налоговой нагрузки предприятия, осуществляющие инновационную деятельность, наравне с иными субъектами предпринимательской деятельности вправе применить такой механизм, как инвестиционный вычет, в порядке, определенном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подпунктом 2.2 пункта 2 статьи 170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научно-технологических парков, центров трансфера технологий, резидентов научно-технологических парков предусмотрена пониженная ставка налога на прибыль в размере десяти (10) процентов (</w:t>
      </w:r>
      <w:r>
        <w:rPr>
          <w:rStyle w:val="colorff00ff"/>
          <w:color w:val="242424"/>
          <w:sz w:val="30"/>
          <w:szCs w:val="30"/>
        </w:rPr>
        <w:t>пункт 2 статьи 184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fake-non-breaking-space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fake-non-breaking-space"/>
          <w:color w:val="242424"/>
          <w:sz w:val="30"/>
          <w:szCs w:val="30"/>
        </w:rPr>
      </w:pP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Н</w:t>
      </w:r>
      <w:r>
        <w:rPr>
          <w:rStyle w:val="font-weightbold"/>
          <w:b/>
          <w:bCs/>
          <w:color w:val="242424"/>
          <w:sz w:val="30"/>
          <w:szCs w:val="30"/>
        </w:rPr>
        <w:t>алог на недвижимость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Освобождаются от налога на недвижимость у плательщиков-организаций: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капитальные строения (здания, сооружения), их части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научных организаций и научно-технологических парков (</w:t>
      </w:r>
      <w:r>
        <w:rPr>
          <w:rStyle w:val="colorff00ff"/>
          <w:color w:val="242424"/>
          <w:sz w:val="30"/>
          <w:szCs w:val="30"/>
        </w:rPr>
        <w:t>абз. 2 подп. 7.1 п. 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от 31.12.2019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503 "О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налогообложении", далее - Указ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503).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ont-styleitalic"/>
          <w:i/>
          <w:iCs/>
          <w:color w:val="242424"/>
          <w:sz w:val="30"/>
          <w:szCs w:val="30"/>
        </w:rPr>
        <w:t>Для целей Указа N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503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под научной организацией понимается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организация, прошедшая аккредитацию научной организации, основным видом деятельности которой являются научные исследования и разработки. Основной вид деятельности определяется в порядке, установленном законодательством для целей сбора и представления статистических данных (</w:t>
      </w:r>
      <w:r>
        <w:rPr>
          <w:rStyle w:val="colorff00fffont-styleitalic"/>
          <w:i/>
          <w:iCs/>
          <w:color w:val="242424"/>
          <w:sz w:val="30"/>
          <w:szCs w:val="30"/>
        </w:rPr>
        <w:t>примечание к подп. 7.1 п. 7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Указа №</w:t>
      </w:r>
      <w:r>
        <w:rPr>
          <w:rStyle w:val="fake-non-breaking-space"/>
          <w:i/>
          <w:iCs/>
          <w:color w:val="242424"/>
          <w:sz w:val="30"/>
          <w:szCs w:val="30"/>
        </w:rPr>
        <w:t> </w:t>
      </w:r>
      <w:r>
        <w:rPr>
          <w:rStyle w:val="font-styleitalic"/>
          <w:i/>
          <w:iCs/>
          <w:color w:val="242424"/>
          <w:sz w:val="30"/>
          <w:szCs w:val="30"/>
        </w:rPr>
        <w:t>503)</w:t>
      </w:r>
      <w:r>
        <w:rPr>
          <w:rStyle w:val="h-normal"/>
          <w:color w:val="242424"/>
          <w:sz w:val="30"/>
          <w:szCs w:val="30"/>
        </w:rPr>
        <w:t>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капитальные строения (здания, сооружения), их части,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переданные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в аренду, иное возмездное или безвозмездное пользование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научным организациям и научно-технологическим паркам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(</w:t>
      </w:r>
      <w:r>
        <w:rPr>
          <w:rStyle w:val="colorff00ff"/>
          <w:color w:val="242424"/>
          <w:sz w:val="30"/>
          <w:szCs w:val="30"/>
        </w:rPr>
        <w:t>абз. 3 подп. 7.1 п. 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503).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З</w:t>
      </w:r>
      <w:r>
        <w:rPr>
          <w:rStyle w:val="font-weightbold"/>
          <w:b/>
          <w:bCs/>
          <w:color w:val="242424"/>
          <w:sz w:val="30"/>
          <w:szCs w:val="30"/>
        </w:rPr>
        <w:t>емельный налог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lastRenderedPageBreak/>
        <w:t> </w:t>
      </w:r>
      <w:r>
        <w:rPr>
          <w:rStyle w:val="h-normal"/>
          <w:color w:val="242424"/>
          <w:sz w:val="30"/>
          <w:szCs w:val="30"/>
        </w:rPr>
        <w:t>Освобождаются от земельного налога у плательщиков-организаций: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опытные поля, используемые для научной деятельности (</w:t>
      </w:r>
      <w:r>
        <w:rPr>
          <w:rStyle w:val="colorff00ff"/>
          <w:color w:val="242424"/>
          <w:sz w:val="30"/>
          <w:szCs w:val="30"/>
        </w:rPr>
        <w:t>подп. 1.2 п. 1 ст.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239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земельные участки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научных организаций и научно-технологических парков (</w:t>
      </w:r>
      <w:r>
        <w:rPr>
          <w:rStyle w:val="colorff00ff"/>
          <w:color w:val="242424"/>
          <w:sz w:val="30"/>
          <w:szCs w:val="30"/>
        </w:rPr>
        <w:t>абз.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2 подп. 7.2 п. 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503);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земельные участки (части земельных участков), на которых расположены капитальные строения (здания, сооружения), их части, переданные в аренду, иное возмездное или безвозмездное пользование научным организациям и научно-технологическим паркам (</w:t>
      </w:r>
      <w:r>
        <w:rPr>
          <w:rStyle w:val="colorff00ff"/>
          <w:color w:val="242424"/>
          <w:sz w:val="30"/>
          <w:szCs w:val="30"/>
        </w:rPr>
        <w:t>абз. 3 подп. 7.2 п. 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N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503);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земельные участки, предоставляемые организациям, осуществляющим за счет средств республиканского и (или) местных бюджетов строительство объектов, включенных в Государственную инвестиционную программу, а также в инвестиционные программы областей и города Минска (</w:t>
      </w:r>
      <w:r>
        <w:rPr>
          <w:rStyle w:val="colorff00ff"/>
          <w:color w:val="242424"/>
          <w:sz w:val="30"/>
          <w:szCs w:val="30"/>
        </w:rPr>
        <w:t>подпункт 1.27 пункта 1 статьи 239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НК).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А</w:t>
      </w:r>
      <w:r>
        <w:rPr>
          <w:rStyle w:val="font-weightbold"/>
          <w:b/>
          <w:bCs/>
          <w:color w:val="242424"/>
          <w:sz w:val="30"/>
          <w:szCs w:val="30"/>
        </w:rPr>
        <w:t>рендная плата за земельные участки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Аналогичные льготы предусмотрены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Указом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Президента Республики Беларусь от 12.05.2020 N 160 "Об арендной плате за земельные участки, находящиеся в государственной собственности" (далее - Указ N 160) и для плательщиков арендной платы.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Так, согласно</w:t>
      </w:r>
      <w:r>
        <w:rPr>
          <w:rStyle w:val="apple-converted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пункту 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Положения о порядке определения, исчисления и уплаты арендной платы, утвержденного Указом N 160 (далее - Положение), арендная плата не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исчисляется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уплачивается юридическими лицами: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за земельные участки, предоставленные для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размещения опытных полей, используемых для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научной деятельности (</w:t>
      </w:r>
      <w:r>
        <w:rPr>
          <w:rStyle w:val="colorff00ff"/>
          <w:color w:val="242424"/>
          <w:sz w:val="30"/>
          <w:szCs w:val="30"/>
        </w:rPr>
        <w:t>подпункт 5.4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Положения);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за земельные участки научных организаций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научно-технологических парков (</w:t>
      </w:r>
      <w:r>
        <w:rPr>
          <w:rStyle w:val="colorff00ff"/>
          <w:color w:val="242424"/>
          <w:sz w:val="30"/>
          <w:szCs w:val="30"/>
        </w:rPr>
        <w:t>подпункт 5.5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Положения);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за земельные участки, предоставляемые организациям, осуществляющим за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счет средств республиканского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(или) местных бюджетов строительство объектов, включенных в Государственную инвестиционную программу, 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также 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инвестиционные программы областей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г.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Минска;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за земельные участки (части земельных участков),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которых расположены капитальные строения (здания, сооружения), их части, переданные юридическими лицами 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аренду, иное возмездное или безвозмездное пользование научным организациям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научно-технологическим паркам (</w:t>
      </w:r>
      <w:r>
        <w:rPr>
          <w:rStyle w:val="colorff00ff"/>
          <w:color w:val="242424"/>
          <w:sz w:val="30"/>
          <w:szCs w:val="30"/>
        </w:rPr>
        <w:t>подпункт 5.44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Положения).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Н</w:t>
      </w:r>
      <w:r>
        <w:rPr>
          <w:rStyle w:val="font-weightbold"/>
          <w:b/>
          <w:bCs/>
          <w:color w:val="242424"/>
          <w:sz w:val="30"/>
          <w:szCs w:val="30"/>
        </w:rPr>
        <w:t>алог при упрощенной системе налогообложения (УСН)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Научно-технологические парки и их резиденты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освобождаются от уплаты налога при УСН</w:t>
      </w:r>
      <w:r>
        <w:rPr>
          <w:rStyle w:val="h-normal"/>
          <w:color w:val="242424"/>
          <w:sz w:val="30"/>
          <w:szCs w:val="30"/>
        </w:rPr>
        <w:t xml:space="preserve">, исчисленного за отчетный (налоговый) </w:t>
      </w:r>
      <w:r>
        <w:rPr>
          <w:rStyle w:val="h-normal"/>
          <w:color w:val="242424"/>
          <w:sz w:val="30"/>
          <w:szCs w:val="30"/>
        </w:rPr>
        <w:lastRenderedPageBreak/>
        <w:t>период, в размере суммы денежных средств, фактически перечисленной ими в этом отчетном (налоговом) периоде в формируемый научно-технологическим парком фонд инновационного развития,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но не более 50%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суммы налога при УСН, исчисленного за такой отчетный (налоговый) период.</w:t>
      </w:r>
    </w:p>
    <w:p w:rsidR="00757B84" w:rsidRDefault="00757B84" w:rsidP="00757B8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при УСН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не включаются в состав внереализационных доходов</w:t>
      </w:r>
      <w:r>
        <w:rPr>
          <w:rStyle w:val="h-normal"/>
          <w:color w:val="242424"/>
          <w:sz w:val="30"/>
          <w:szCs w:val="30"/>
        </w:rPr>
        <w:t>, учитываемых при налогообложении (</w:t>
      </w:r>
      <w:r>
        <w:rPr>
          <w:rStyle w:val="colorff00ff"/>
          <w:color w:val="242424"/>
          <w:sz w:val="30"/>
          <w:szCs w:val="30"/>
        </w:rPr>
        <w:t>подп. 2.1 п.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Указа №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1).</w:t>
      </w:r>
    </w:p>
    <w:p w:rsidR="00CD51E3" w:rsidRPr="00CD51E3" w:rsidRDefault="00CD51E3" w:rsidP="00757B84">
      <w:pPr>
        <w:pStyle w:val="afc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D51E3" w:rsidRPr="00CD51E3" w:rsidRDefault="000E53BA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5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начальника инспекции                                    Т.А Писарец</w:t>
      </w:r>
    </w:p>
    <w:p w:rsidR="0047293B" w:rsidRPr="00757B84" w:rsidRDefault="0047293B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7293B" w:rsidRDefault="0047293B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7B84" w:rsidRPr="00757B84" w:rsidRDefault="00757B84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E53BA" w:rsidRPr="000E53BA" w:rsidRDefault="000E53BA" w:rsidP="00CD51E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53B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Волохин 37327</w:t>
      </w:r>
    </w:p>
    <w:sectPr w:rsidR="000E53BA" w:rsidRPr="000E53BA" w:rsidSect="00757B84">
      <w:headerReference w:type="even" r:id="rId8"/>
      <w:pgSz w:w="11905" w:h="16838"/>
      <w:pgMar w:top="-426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1F" w:rsidRDefault="006F5F1F">
      <w:pPr>
        <w:spacing w:after="0" w:line="240" w:lineRule="auto"/>
      </w:pPr>
      <w:r>
        <w:separator/>
      </w:r>
    </w:p>
  </w:endnote>
  <w:endnote w:type="continuationSeparator" w:id="1">
    <w:p w:rsidR="006F5F1F" w:rsidRDefault="006F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1F" w:rsidRDefault="006F5F1F">
      <w:pPr>
        <w:spacing w:after="0" w:line="240" w:lineRule="auto"/>
      </w:pPr>
      <w:r>
        <w:separator/>
      </w:r>
    </w:p>
  </w:footnote>
  <w:footnote w:type="continuationSeparator" w:id="1">
    <w:p w:rsidR="006F5F1F" w:rsidRDefault="006F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E446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B0699"/>
    <w:rsid w:val="000C4860"/>
    <w:rsid w:val="000E53BA"/>
    <w:rsid w:val="00110BEB"/>
    <w:rsid w:val="00127827"/>
    <w:rsid w:val="00131235"/>
    <w:rsid w:val="00175B27"/>
    <w:rsid w:val="001B47DC"/>
    <w:rsid w:val="001B4AEB"/>
    <w:rsid w:val="001C1AC7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377884"/>
    <w:rsid w:val="00380DFD"/>
    <w:rsid w:val="0038116E"/>
    <w:rsid w:val="00391177"/>
    <w:rsid w:val="0039524B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3C3C"/>
    <w:rsid w:val="00546965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5F1F"/>
    <w:rsid w:val="006F79C8"/>
    <w:rsid w:val="00740F37"/>
    <w:rsid w:val="00744442"/>
    <w:rsid w:val="007450E6"/>
    <w:rsid w:val="00757B84"/>
    <w:rsid w:val="00757CAF"/>
    <w:rsid w:val="00774A20"/>
    <w:rsid w:val="007A4C3D"/>
    <w:rsid w:val="007B47F0"/>
    <w:rsid w:val="007E171D"/>
    <w:rsid w:val="007F4F15"/>
    <w:rsid w:val="00806C83"/>
    <w:rsid w:val="008127A9"/>
    <w:rsid w:val="00813FF9"/>
    <w:rsid w:val="00815B7A"/>
    <w:rsid w:val="00817A64"/>
    <w:rsid w:val="00823456"/>
    <w:rsid w:val="0088115E"/>
    <w:rsid w:val="0089178B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4FD2"/>
    <w:rsid w:val="00AD155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3341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4BC2"/>
    <w:rsid w:val="00E36089"/>
    <w:rsid w:val="00E4462D"/>
    <w:rsid w:val="00E467F8"/>
    <w:rsid w:val="00E734CE"/>
    <w:rsid w:val="00E95BF6"/>
    <w:rsid w:val="00EE3E68"/>
    <w:rsid w:val="00EE6671"/>
    <w:rsid w:val="00F348F1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2D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E17F-7711-4BE9-9E0B-786FEBF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2021-01-04T06:47:00Z</dcterms:created>
  <dcterms:modified xsi:type="dcterms:W3CDTF">2021-01-04T06:48:00Z</dcterms:modified>
</cp:coreProperties>
</file>